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entury Gothic" w:hAnsi="Century Gothic"/>
          <w:sz w:val="24"/>
          <w:szCs w:val="24"/>
        </w:rPr>
        <w:id w:val="123749430"/>
        <w:docPartObj>
          <w:docPartGallery w:val="Cover Pages"/>
          <w:docPartUnique/>
        </w:docPartObj>
      </w:sdtPr>
      <w:sdtEndPr>
        <w:rPr>
          <w:rFonts w:eastAsiaTheme="minorEastAsia"/>
          <w:color w:val="FFFFFF" w:themeColor="background1"/>
          <w:lang w:eastAsia="fr-FR"/>
        </w:rPr>
      </w:sdtEndPr>
      <w:sdtContent>
        <w:p w14:paraId="4A59A39E" w14:textId="77777777" w:rsidR="00034C3C" w:rsidRPr="00DC0ED0" w:rsidRDefault="00034C3C" w:rsidP="007D261B">
          <w:pPr>
            <w:spacing w:line="240" w:lineRule="auto"/>
            <w:jc w:val="both"/>
            <w:rPr>
              <w:rFonts w:ascii="Century Gothic" w:hAnsi="Century Gothic"/>
              <w:sz w:val="24"/>
              <w:szCs w:val="24"/>
            </w:rPr>
          </w:pPr>
          <w:r w:rsidRPr="00DC0ED0">
            <w:rPr>
              <w:rFonts w:ascii="Century Gothic" w:hAnsi="Century Gothic"/>
              <w:noProof/>
              <w:sz w:val="24"/>
              <w:szCs w:val="24"/>
              <w:lang w:eastAsia="fr-FR"/>
            </w:rPr>
            <mc:AlternateContent>
              <mc:Choice Requires="wps">
                <w:drawing>
                  <wp:anchor distT="0" distB="0" distL="114300" distR="114300" simplePos="0" relativeHeight="251661312" behindDoc="0" locked="0" layoutInCell="1" allowOverlap="1" wp14:anchorId="083051D6" wp14:editId="0FA3E792">
                    <wp:simplePos x="0" y="0"/>
                    <wp:positionH relativeFrom="page">
                      <wp:posOffset>819150</wp:posOffset>
                    </wp:positionH>
                    <wp:positionV relativeFrom="page">
                      <wp:posOffset>466725</wp:posOffset>
                    </wp:positionV>
                    <wp:extent cx="1600200" cy="962025"/>
                    <wp:effectExtent l="0" t="0" r="0" b="9525"/>
                    <wp:wrapSquare wrapText="bothSides"/>
                    <wp:docPr id="111" name="Zone de texte 111"/>
                    <wp:cNvGraphicFramePr/>
                    <a:graphic xmlns:a="http://schemas.openxmlformats.org/drawingml/2006/main">
                      <a:graphicData uri="http://schemas.microsoft.com/office/word/2010/wordprocessingShape">
                        <wps:wsp>
                          <wps:cNvSpPr txBox="1"/>
                          <wps:spPr>
                            <a:xfrm>
                              <a:off x="0" y="0"/>
                              <a:ext cx="16002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E9D1A" w14:textId="77777777" w:rsidR="00034C3C" w:rsidRDefault="00034C3C" w:rsidP="00034C3C">
                                <w:pPr>
                                  <w:pStyle w:val="Sansinterligne"/>
                                  <w:jc w:val="right"/>
                                  <w:rPr>
                                    <w:caps/>
                                    <w:color w:val="323E4F" w:themeColor="text2" w:themeShade="BF"/>
                                    <w:sz w:val="40"/>
                                    <w:szCs w:val="40"/>
                                  </w:rPr>
                                </w:pPr>
                                <w:r>
                                  <w:rPr>
                                    <w:noProof/>
                                  </w:rPr>
                                  <w:drawing>
                                    <wp:inline distT="0" distB="0" distL="0" distR="0" wp14:anchorId="3B8FAE89" wp14:editId="2D9939F1">
                                      <wp:extent cx="1524000" cy="788804"/>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41992" cy="79811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3051D6" id="_x0000_t202" coordsize="21600,21600" o:spt="202" path="m,l,21600r21600,l21600,xe">
                    <v:stroke joinstyle="miter"/>
                    <v:path gradientshapeok="t" o:connecttype="rect"/>
                  </v:shapetype>
                  <v:shape id="Zone de texte 111" o:spid="_x0000_s1026" type="#_x0000_t202" style="position:absolute;left:0;text-align:left;margin-left:64.5pt;margin-top:36.75pt;width:126pt;height:7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" filled="f" stroked="f" strokeweight=".5pt">
                    <v:textbox inset="0,0,0,0">
                      <w:txbxContent>
                        <w:p w14:paraId="353E9D1A" w14:textId="77777777" w:rsidR="00034C3C" w:rsidRDefault="00034C3C" w:rsidP="00034C3C">
                          <w:pPr>
                            <w:pStyle w:val="Sansinterligne"/>
                            <w:jc w:val="right"/>
                            <w:rPr>
                              <w:caps/>
                              <w:color w:val="323E4F" w:themeColor="text2" w:themeShade="BF"/>
                              <w:sz w:val="40"/>
                              <w:szCs w:val="40"/>
                            </w:rPr>
                          </w:pPr>
                          <w:r>
                            <w:rPr>
                              <w:noProof/>
                            </w:rPr>
                            <w:drawing>
                              <wp:inline distT="0" distB="0" distL="0" distR="0" wp14:anchorId="3B8FAE89" wp14:editId="2D9939F1">
                                <wp:extent cx="1524000" cy="788804"/>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41992" cy="798117"/>
                                        </a:xfrm>
                                        <a:prstGeom prst="rect">
                                          <a:avLst/>
                                        </a:prstGeom>
                                      </pic:spPr>
                                    </pic:pic>
                                  </a:graphicData>
                                </a:graphic>
                              </wp:inline>
                            </w:drawing>
                          </w:r>
                        </w:p>
                      </w:txbxContent>
                    </v:textbox>
                    <w10:wrap type="square" anchorx="page" anchory="page"/>
                  </v:shape>
                </w:pict>
              </mc:Fallback>
            </mc:AlternateContent>
          </w:r>
        </w:p>
        <w:p w14:paraId="6BE6BF36" w14:textId="77777777" w:rsidR="00034C3C" w:rsidRPr="00DC0ED0" w:rsidRDefault="00034C3C" w:rsidP="007D261B">
          <w:pPr>
            <w:spacing w:line="240" w:lineRule="auto"/>
            <w:jc w:val="both"/>
            <w:rPr>
              <w:rFonts w:ascii="Century Gothic" w:eastAsiaTheme="minorEastAsia" w:hAnsi="Century Gothic"/>
              <w:color w:val="FFFFFF" w:themeColor="background1"/>
              <w:sz w:val="24"/>
              <w:szCs w:val="24"/>
              <w:lang w:eastAsia="fr-FR"/>
            </w:rPr>
          </w:pPr>
          <w:r w:rsidRPr="00DC0ED0">
            <w:rPr>
              <w:rFonts w:ascii="Century Gothic" w:hAnsi="Century Gothic"/>
              <w:noProof/>
              <w:sz w:val="24"/>
              <w:szCs w:val="24"/>
              <w:lang w:eastAsia="fr-FR"/>
            </w:rPr>
            <mc:AlternateContent>
              <mc:Choice Requires="wps">
                <w:drawing>
                  <wp:anchor distT="0" distB="0" distL="114300" distR="114300" simplePos="0" relativeHeight="251660288" behindDoc="0" locked="0" layoutInCell="1" allowOverlap="1" wp14:anchorId="40C037B0" wp14:editId="7AE09D29">
                    <wp:simplePos x="0" y="0"/>
                    <wp:positionH relativeFrom="page">
                      <wp:posOffset>1162050</wp:posOffset>
                    </wp:positionH>
                    <wp:positionV relativeFrom="page">
                      <wp:posOffset>3095624</wp:posOffset>
                    </wp:positionV>
                    <wp:extent cx="5753100" cy="1628775"/>
                    <wp:effectExtent l="0" t="0" r="13335" b="9525"/>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753100"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04C12" w14:textId="2A8070DB" w:rsidR="0066468C" w:rsidRPr="00DC0ED0" w:rsidRDefault="0066468C" w:rsidP="00DC0ED0">
                                <w:pPr>
                                  <w:spacing w:after="0"/>
                                  <w:jc w:val="center"/>
                                  <w:rPr>
                                    <w:rFonts w:ascii="Century Gothic" w:hAnsi="Century Gothic"/>
                                    <w:b/>
                                    <w:color w:val="000000" w:themeColor="text1"/>
                                    <w:sz w:val="28"/>
                                    <w:szCs w:val="28"/>
                                  </w:rPr>
                                </w:pPr>
                                <w:r w:rsidRPr="00DC0ED0">
                                  <w:rPr>
                                    <w:rFonts w:ascii="Century Gothic" w:hAnsi="Century Gothic"/>
                                    <w:b/>
                                    <w:color w:val="000000" w:themeColor="text1"/>
                                    <w:sz w:val="28"/>
                                    <w:szCs w:val="28"/>
                                  </w:rPr>
                                  <w:t>SEMINAIRE SUR LES CONDITIONS ET MODALITES D’ACCES AUX RESSOURCES ET AUX RESEAUX DE TELECOMMUNICATIONS/TIC POUR LA FOURNITURE DES SERVICES FINANCIERS MOBILES</w:t>
                                </w:r>
                              </w:p>
                              <w:p w14:paraId="6E537B6C" w14:textId="01BD1F54" w:rsidR="00ED0DAF" w:rsidRPr="00DC0ED0" w:rsidRDefault="00004452" w:rsidP="00996221">
                                <w:pPr>
                                  <w:pBdr>
                                    <w:top w:val="single" w:sz="4" w:space="1" w:color="auto"/>
                                    <w:left w:val="single" w:sz="4" w:space="4" w:color="auto"/>
                                    <w:bottom w:val="single" w:sz="4" w:space="1" w:color="auto"/>
                                    <w:right w:val="single" w:sz="4" w:space="4" w:color="auto"/>
                                  </w:pBdr>
                                  <w:jc w:val="both"/>
                                  <w:rPr>
                                    <w:rFonts w:ascii="Arial Narrow" w:hAnsi="Arial Narrow" w:cs="Arial"/>
                                    <w:b/>
                                    <w:sz w:val="28"/>
                                    <w:szCs w:val="28"/>
                                  </w:rPr>
                                </w:pPr>
                                <w:r>
                                  <w:rPr>
                                    <w:rFonts w:ascii="Arial Narrow" w:hAnsi="Arial Narrow" w:cs="Arial"/>
                                    <w:b/>
                                    <w:sz w:val="36"/>
                                    <w:szCs w:val="36"/>
                                  </w:rPr>
                                  <w:t xml:space="preserve">                                         </w:t>
                                </w:r>
                                <w:r w:rsidR="0066468C" w:rsidRPr="00DC0ED0">
                                  <w:rPr>
                                    <w:rFonts w:ascii="Arial Narrow" w:hAnsi="Arial Narrow" w:cs="Arial"/>
                                    <w:b/>
                                    <w:sz w:val="28"/>
                                    <w:szCs w:val="28"/>
                                  </w:rPr>
                                  <w:t xml:space="preserve">15 </w:t>
                                </w:r>
                                <w:r w:rsidR="00DC0ED0" w:rsidRPr="00DC0ED0">
                                  <w:rPr>
                                    <w:rFonts w:ascii="Arial Narrow" w:hAnsi="Arial Narrow" w:cs="Arial"/>
                                    <w:b/>
                                    <w:sz w:val="28"/>
                                    <w:szCs w:val="28"/>
                                  </w:rPr>
                                  <w:t>décembre</w:t>
                                </w:r>
                                <w:r w:rsidR="0066468C" w:rsidRPr="00DC0ED0">
                                  <w:rPr>
                                    <w:rFonts w:ascii="Arial Narrow" w:hAnsi="Arial Narrow" w:cs="Arial"/>
                                    <w:b/>
                                    <w:sz w:val="28"/>
                                    <w:szCs w:val="28"/>
                                  </w:rPr>
                                  <w:t xml:space="preserve"> 2023</w:t>
                                </w:r>
                              </w:p>
                              <w:sdt>
                                <w:sdtPr>
                                  <w:rPr>
                                    <w:rFonts w:ascii="Tw Cen MT" w:hAnsi="Tw Cen MT"/>
                                    <w:smallCaps/>
                                    <w:color w:val="ED7D31" w:themeColor="accent2"/>
                                    <w:sz w:val="72"/>
                                    <w:szCs w:val="36"/>
                                  </w:rPr>
                                  <w:alias w:val="Sous-titr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13B2E269" w14:textId="77777777" w:rsidR="00034C3C" w:rsidRDefault="00ED0DAF" w:rsidP="00034C3C">
                                    <w:pPr>
                                      <w:pStyle w:val="Sansinterligne"/>
                                      <w:jc w:val="center"/>
                                      <w:rPr>
                                        <w:smallCaps/>
                                        <w:color w:val="44546A" w:themeColor="text2"/>
                                        <w:sz w:val="36"/>
                                        <w:szCs w:val="36"/>
                                      </w:rPr>
                                    </w:pPr>
                                    <w:r>
                                      <w:rPr>
                                        <w:rFonts w:ascii="Tw Cen MT" w:hAnsi="Tw Cen MT"/>
                                        <w:smallCaps/>
                                        <w:color w:val="ED7D31" w:themeColor="accent2"/>
                                        <w:sz w:val="72"/>
                                        <w:szCs w:val="36"/>
                                      </w:rPr>
                                      <w:t>DOSSIER DE PRESSE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40C037B0" id="Zone de texte 113" o:spid="_x0000_s1027" type="#_x0000_t202" style="position:absolute;left:0;text-align:left;margin-left:91.5pt;margin-top:243.75pt;width:453pt;height:128.2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" filled="f" stroked="f" strokeweight=".5pt">
                    <v:textbox inset="0,0,0,0">
                      <w:txbxContent>
                        <w:p w14:paraId="7C704C12" w14:textId="2A8070DB" w:rsidR="0066468C" w:rsidRPr="00DC0ED0" w:rsidRDefault="0066468C" w:rsidP="00DC0ED0">
                          <w:pPr>
                            <w:spacing w:after="0"/>
                            <w:jc w:val="center"/>
                            <w:rPr>
                              <w:rFonts w:ascii="Century Gothic" w:hAnsi="Century Gothic"/>
                              <w:b/>
                              <w:color w:val="000000" w:themeColor="text1"/>
                              <w:sz w:val="28"/>
                              <w:szCs w:val="28"/>
                            </w:rPr>
                          </w:pPr>
                          <w:r w:rsidRPr="00DC0ED0">
                            <w:rPr>
                              <w:rFonts w:ascii="Century Gothic" w:hAnsi="Century Gothic"/>
                              <w:b/>
                              <w:color w:val="000000" w:themeColor="text1"/>
                              <w:sz w:val="28"/>
                              <w:szCs w:val="28"/>
                            </w:rPr>
                            <w:t>SEMINAIRE SUR LES CONDITIONS ET MODALITES D’ACCES AUX RESSOURCES ET AUX RESEAUX DE TELECOMMUNICATIONS/TIC POUR LA FOURNITURE DES SERVICES FINANCIERS MOBILES</w:t>
                          </w:r>
                        </w:p>
                        <w:p w14:paraId="6E537B6C" w14:textId="01BD1F54" w:rsidR="00ED0DAF" w:rsidRPr="00DC0ED0" w:rsidRDefault="00004452" w:rsidP="00996221">
                          <w:pPr>
                            <w:pBdr>
                              <w:top w:val="single" w:sz="4" w:space="1" w:color="auto"/>
                              <w:left w:val="single" w:sz="4" w:space="4" w:color="auto"/>
                              <w:bottom w:val="single" w:sz="4" w:space="1" w:color="auto"/>
                              <w:right w:val="single" w:sz="4" w:space="4" w:color="auto"/>
                            </w:pBdr>
                            <w:jc w:val="both"/>
                            <w:rPr>
                              <w:rFonts w:ascii="Arial Narrow" w:hAnsi="Arial Narrow" w:cs="Arial"/>
                              <w:b/>
                              <w:sz w:val="28"/>
                              <w:szCs w:val="28"/>
                            </w:rPr>
                          </w:pPr>
                          <w:r>
                            <w:rPr>
                              <w:rFonts w:ascii="Arial Narrow" w:hAnsi="Arial Narrow" w:cs="Arial"/>
                              <w:b/>
                              <w:sz w:val="36"/>
                              <w:szCs w:val="36"/>
                            </w:rPr>
                            <w:t xml:space="preserve">                                         </w:t>
                          </w:r>
                          <w:r w:rsidR="0066468C" w:rsidRPr="00DC0ED0">
                            <w:rPr>
                              <w:rFonts w:ascii="Arial Narrow" w:hAnsi="Arial Narrow" w:cs="Arial"/>
                              <w:b/>
                              <w:sz w:val="28"/>
                              <w:szCs w:val="28"/>
                            </w:rPr>
                            <w:t xml:space="preserve">15 </w:t>
                          </w:r>
                          <w:r w:rsidR="00DC0ED0" w:rsidRPr="00DC0ED0">
                            <w:rPr>
                              <w:rFonts w:ascii="Arial Narrow" w:hAnsi="Arial Narrow" w:cs="Arial"/>
                              <w:b/>
                              <w:sz w:val="28"/>
                              <w:szCs w:val="28"/>
                            </w:rPr>
                            <w:t>décembre</w:t>
                          </w:r>
                          <w:r w:rsidR="0066468C" w:rsidRPr="00DC0ED0">
                            <w:rPr>
                              <w:rFonts w:ascii="Arial Narrow" w:hAnsi="Arial Narrow" w:cs="Arial"/>
                              <w:b/>
                              <w:sz w:val="28"/>
                              <w:szCs w:val="28"/>
                            </w:rPr>
                            <w:t xml:space="preserve"> 2023</w:t>
                          </w:r>
                        </w:p>
                        <w:sdt>
                          <w:sdtPr>
                            <w:rPr>
                              <w:rFonts w:ascii="Tw Cen MT" w:hAnsi="Tw Cen MT"/>
                              <w:smallCaps/>
                              <w:color w:val="ED7D31" w:themeColor="accent2"/>
                              <w:sz w:val="72"/>
                              <w:szCs w:val="36"/>
                            </w:rPr>
                            <w:alias w:val="Sous-titr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13B2E269" w14:textId="77777777" w:rsidR="00034C3C" w:rsidRDefault="00ED0DAF" w:rsidP="00034C3C">
                              <w:pPr>
                                <w:pStyle w:val="Sansinterligne"/>
                                <w:jc w:val="center"/>
                                <w:rPr>
                                  <w:smallCaps/>
                                  <w:color w:val="44546A" w:themeColor="text2"/>
                                  <w:sz w:val="36"/>
                                  <w:szCs w:val="36"/>
                                </w:rPr>
                              </w:pPr>
                              <w:r>
                                <w:rPr>
                                  <w:rFonts w:ascii="Tw Cen MT" w:hAnsi="Tw Cen MT"/>
                                  <w:smallCaps/>
                                  <w:color w:val="ED7D31" w:themeColor="accent2"/>
                                  <w:sz w:val="72"/>
                                  <w:szCs w:val="36"/>
                                </w:rPr>
                                <w:t>DOSSIER DE PRESSE</w:t>
                              </w:r>
                            </w:p>
                          </w:sdtContent>
                        </w:sdt>
                      </w:txbxContent>
                    </v:textbox>
                    <w10:wrap type="square" anchorx="page" anchory="page"/>
                  </v:shape>
                </w:pict>
              </mc:Fallback>
            </mc:AlternateContent>
          </w:r>
          <w:r w:rsidRPr="00DC0ED0">
            <w:rPr>
              <w:rFonts w:ascii="Century Gothic" w:hAnsi="Century Gothic"/>
              <w:noProof/>
              <w:sz w:val="24"/>
              <w:szCs w:val="24"/>
              <w:lang w:eastAsia="fr-FR"/>
            </w:rPr>
            <mc:AlternateContent>
              <mc:Choice Requires="wpg">
                <w:drawing>
                  <wp:anchor distT="0" distB="0" distL="114300" distR="114300" simplePos="0" relativeHeight="251659264" behindDoc="0" locked="0" layoutInCell="1" allowOverlap="1" wp14:anchorId="29253694" wp14:editId="15FA2123">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e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012EF50" id="Groupe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xDyxnSMDAADFCgAADgAAAAAA&#10;AAAAAAAAAAAuAgAAZHJzL2Uyb0RvYy54bWxQSwECLQAUAAYACAAAACEAvdF3w9oAAAAFAQAADwAA&#10;AAAAAAAAAAAAAAB9BQAAZHJzL2Rvd25yZXYueG1sUEsFBgAAAAAEAAQA8wAAAIQ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5b9bd5 [3204]" stroked="f" strokeweight="1pt">
                      <o:lock v:ext="edit" aspectratio="t"/>
                    </v:rect>
                    <w10:wrap anchorx="page" anchory="page"/>
                  </v:group>
                </w:pict>
              </mc:Fallback>
            </mc:AlternateContent>
          </w:r>
          <w:r w:rsidRPr="00DC0ED0">
            <w:rPr>
              <w:rFonts w:ascii="Century Gothic" w:eastAsiaTheme="minorEastAsia" w:hAnsi="Century Gothic"/>
              <w:color w:val="FFFFFF" w:themeColor="background1"/>
              <w:sz w:val="24"/>
              <w:szCs w:val="24"/>
              <w:lang w:eastAsia="fr-FR"/>
            </w:rPr>
            <w:br w:type="page"/>
          </w:r>
        </w:p>
      </w:sdtContent>
    </w:sdt>
    <w:p w14:paraId="0E425A27" w14:textId="77777777" w:rsidR="00671E0D" w:rsidRPr="00DC0ED0" w:rsidRDefault="00671E0D" w:rsidP="007D261B">
      <w:pPr>
        <w:spacing w:line="240" w:lineRule="auto"/>
        <w:jc w:val="both"/>
        <w:rPr>
          <w:rFonts w:ascii="Century Gothic" w:hAnsi="Century Gothic" w:cs="Tahoma"/>
          <w:sz w:val="24"/>
          <w:szCs w:val="24"/>
        </w:rPr>
        <w:sectPr w:rsidR="00671E0D" w:rsidRPr="00DC0ED0" w:rsidSect="00671E0D">
          <w:footerReference w:type="default" r:id="rId8"/>
          <w:type w:val="continuous"/>
          <w:pgSz w:w="11906" w:h="16838"/>
          <w:pgMar w:top="1417" w:right="1417" w:bottom="1417" w:left="1417" w:header="708" w:footer="708" w:gutter="0"/>
          <w:pgNumType w:start="0"/>
          <w:cols w:space="708"/>
          <w:titlePg/>
          <w:docGrid w:linePitch="360"/>
        </w:sectPr>
      </w:pPr>
    </w:p>
    <w:p w14:paraId="2289546D" w14:textId="77777777" w:rsidR="00671E0D" w:rsidRPr="00DC0ED0" w:rsidRDefault="00671E0D" w:rsidP="007D261B">
      <w:pPr>
        <w:tabs>
          <w:tab w:val="left" w:pos="708"/>
          <w:tab w:val="left" w:pos="1440"/>
        </w:tabs>
        <w:suppressAutoHyphens/>
        <w:spacing w:line="240" w:lineRule="auto"/>
        <w:jc w:val="both"/>
        <w:rPr>
          <w:rFonts w:ascii="Century Gothic" w:eastAsia="Times New Roman" w:hAnsi="Century Gothic" w:cs="Verdana"/>
          <w:sz w:val="24"/>
          <w:szCs w:val="24"/>
          <w:lang w:eastAsia="zh-CN"/>
        </w:rPr>
      </w:pPr>
    </w:p>
    <w:p w14:paraId="09788D4D" w14:textId="3FEA4165" w:rsidR="00671E0D" w:rsidRPr="00DC0ED0" w:rsidRDefault="003E061C" w:rsidP="0066468C">
      <w:pPr>
        <w:pStyle w:val="Paragraphedeliste"/>
        <w:numPr>
          <w:ilvl w:val="0"/>
          <w:numId w:val="9"/>
        </w:numPr>
        <w:tabs>
          <w:tab w:val="left" w:pos="708"/>
          <w:tab w:val="left" w:pos="1440"/>
        </w:tabs>
        <w:suppressAutoHyphens/>
        <w:spacing w:line="240" w:lineRule="auto"/>
        <w:jc w:val="both"/>
        <w:rPr>
          <w:rFonts w:ascii="Century Gothic" w:eastAsia="Times New Roman" w:hAnsi="Century Gothic" w:cs="Verdana"/>
          <w:b/>
          <w:color w:val="ED7D31" w:themeColor="accent2"/>
          <w:sz w:val="24"/>
          <w:szCs w:val="24"/>
          <w:lang w:eastAsia="zh-CN"/>
        </w:rPr>
      </w:pPr>
      <w:r w:rsidRPr="00DC0ED0">
        <w:rPr>
          <w:rFonts w:ascii="Century Gothic" w:eastAsia="Times New Roman" w:hAnsi="Century Gothic" w:cs="Verdana"/>
          <w:b/>
          <w:color w:val="ED7D31" w:themeColor="accent2"/>
          <w:sz w:val="24"/>
          <w:szCs w:val="24"/>
          <w:lang w:eastAsia="zh-CN"/>
        </w:rPr>
        <w:t xml:space="preserve">Contexte </w:t>
      </w:r>
    </w:p>
    <w:p w14:paraId="58C49284" w14:textId="77777777" w:rsidR="0066468C" w:rsidRPr="00DC0ED0" w:rsidRDefault="0066468C" w:rsidP="0066468C">
      <w:pPr>
        <w:rPr>
          <w:rFonts w:ascii="Century Gothic" w:hAnsi="Century Gothic"/>
          <w:sz w:val="24"/>
          <w:szCs w:val="24"/>
        </w:rPr>
      </w:pPr>
    </w:p>
    <w:p w14:paraId="22EECAC7" w14:textId="3FFECB80" w:rsidR="0066468C" w:rsidRPr="00DC0ED0" w:rsidRDefault="0066468C" w:rsidP="0066468C">
      <w:pPr>
        <w:rPr>
          <w:rFonts w:ascii="Century Gothic" w:hAnsi="Century Gothic"/>
          <w:b/>
          <w:sz w:val="24"/>
          <w:szCs w:val="24"/>
        </w:rPr>
      </w:pPr>
      <w:r w:rsidRPr="00DC0ED0">
        <w:rPr>
          <w:rFonts w:ascii="Century Gothic" w:hAnsi="Century Gothic"/>
          <w:sz w:val="24"/>
          <w:szCs w:val="24"/>
        </w:rPr>
        <w:t>Selon l’article 2.70 de l’ordonnance n°2012-293 du 21 mars 2012 relative aux Télécommunications et aux Technologies de l’Information et de la Communication, les services à valeur ajoutée se définissent comme « </w:t>
      </w:r>
      <w:r w:rsidRPr="00DC0ED0">
        <w:rPr>
          <w:rFonts w:ascii="Century Gothic" w:hAnsi="Century Gothic"/>
          <w:i/>
          <w:iCs/>
          <w:sz w:val="24"/>
          <w:szCs w:val="24"/>
        </w:rPr>
        <w:t>services qui utilisent comme support, un réseau de télécommunications de base pour l'envoi et l'échange d'informations en ajoutant d'autres fonctions pour satisfaire de nouveaux besoins en matière de télécommunication</w:t>
      </w:r>
      <w:r w:rsidRPr="00DC0ED0">
        <w:rPr>
          <w:rFonts w:ascii="Century Gothic" w:hAnsi="Century Gothic"/>
          <w:sz w:val="24"/>
          <w:szCs w:val="24"/>
        </w:rPr>
        <w:t>. (….) ».</w:t>
      </w:r>
    </w:p>
    <w:p w14:paraId="3DE5F9E7" w14:textId="753AE92D" w:rsidR="0066468C" w:rsidRPr="00DC0ED0" w:rsidRDefault="0066468C" w:rsidP="0066468C">
      <w:pPr>
        <w:jc w:val="both"/>
        <w:rPr>
          <w:rFonts w:ascii="Century Gothic" w:hAnsi="Century Gothic"/>
          <w:sz w:val="24"/>
          <w:szCs w:val="24"/>
        </w:rPr>
      </w:pPr>
      <w:r w:rsidRPr="00DC0ED0">
        <w:rPr>
          <w:rFonts w:ascii="Century Gothic" w:hAnsi="Century Gothic"/>
          <w:sz w:val="24"/>
          <w:szCs w:val="24"/>
        </w:rPr>
        <w:t>En juin 2023, on dénombre cent trente-deux (132)</w:t>
      </w:r>
      <w:bookmarkStart w:id="0" w:name="_Hlk141343307"/>
      <w:r w:rsidRPr="00DC0ED0">
        <w:rPr>
          <w:rFonts w:ascii="Century Gothic" w:hAnsi="Century Gothic"/>
          <w:sz w:val="24"/>
          <w:szCs w:val="24"/>
        </w:rPr>
        <w:t xml:space="preserve"> fournisseurs de services à valeur ajoutée, titulaires de récépissés de déclaration valables, délivrés par l’Autorité de Régulation des Télécommunications /TIC </w:t>
      </w:r>
      <w:bookmarkEnd w:id="0"/>
      <w:r w:rsidRPr="00DC0ED0">
        <w:rPr>
          <w:rFonts w:ascii="Century Gothic" w:hAnsi="Century Gothic"/>
          <w:sz w:val="24"/>
          <w:szCs w:val="24"/>
        </w:rPr>
        <w:t>de Côte d’Ivoire (ARTCI), exerçant sur ce segment de marché de plus en plus dynamique. Le service de messagerie vocale (système IVR) et le service de messagerie écrite (accessible par les codes USSD et les SMS) sont les services à valeur ajoutée les plus courants.</w:t>
      </w:r>
    </w:p>
    <w:p w14:paraId="3AB0E2F1" w14:textId="77777777" w:rsidR="0066468C" w:rsidRPr="00DC0ED0" w:rsidRDefault="0066468C" w:rsidP="0066468C">
      <w:pPr>
        <w:jc w:val="both"/>
        <w:rPr>
          <w:rFonts w:ascii="Century Gothic" w:hAnsi="Century Gothic"/>
          <w:sz w:val="24"/>
          <w:szCs w:val="24"/>
        </w:rPr>
      </w:pPr>
      <w:r w:rsidRPr="00DC0ED0">
        <w:rPr>
          <w:rFonts w:ascii="Century Gothic" w:hAnsi="Century Gothic"/>
          <w:sz w:val="24"/>
          <w:szCs w:val="24"/>
        </w:rPr>
        <w:t>Aussi, on note que les services financiers mobiles se développent de plus en plus. En effet, en plus du paiement par mobile, apparu dans les années 2000, il y a une diversification des services financiers mobiles, principalement de banques et d’assurances (moyens de paiements, produits d’épargne, crédits, assurances prévoyance, etc.) proposés par les fournisseurs de services financiers mobiles. Etant donné que plus de cinquante (50) millions d’abonnés à la téléphonie mobile ont été dénombrés en fin mars 2023 par l’ARTCI, les services financiers mobiles pourraient servir de levier pour faciliter l’inclusion financière pour la Côte d’Ivoire.</w:t>
      </w:r>
    </w:p>
    <w:p w14:paraId="2EFF1117" w14:textId="77777777" w:rsidR="0066468C" w:rsidRPr="00DC0ED0" w:rsidRDefault="0066468C" w:rsidP="0066468C">
      <w:pPr>
        <w:jc w:val="both"/>
        <w:rPr>
          <w:rFonts w:ascii="Century Gothic" w:hAnsi="Century Gothic"/>
          <w:sz w:val="24"/>
          <w:szCs w:val="24"/>
        </w:rPr>
      </w:pPr>
      <w:r w:rsidRPr="00DC0ED0">
        <w:rPr>
          <w:rFonts w:ascii="Century Gothic" w:hAnsi="Century Gothic"/>
          <w:sz w:val="24"/>
          <w:szCs w:val="24"/>
        </w:rPr>
        <w:t xml:space="preserve">Dans le principe de fonctionnement, les fournisseurs de services utilisent comme support, les infrastructures des opérateurs de téléphonie mobile sur la base d’un contrat conclu entre les deux parties (fournisseurs de services et opérateurs de téléphonie mobile), en vue de fournir les services à valeur ajoutée aux abonnés ayant souscrit à leurs offres. </w:t>
      </w:r>
    </w:p>
    <w:p w14:paraId="0A3F7B85" w14:textId="77777777" w:rsidR="0066468C" w:rsidRPr="00DC0ED0" w:rsidRDefault="0066468C" w:rsidP="0066468C">
      <w:pPr>
        <w:jc w:val="both"/>
        <w:rPr>
          <w:rFonts w:ascii="Century Gothic" w:hAnsi="Century Gothic"/>
          <w:sz w:val="24"/>
          <w:szCs w:val="24"/>
        </w:rPr>
      </w:pPr>
      <w:r w:rsidRPr="00DC0ED0">
        <w:rPr>
          <w:rFonts w:ascii="Century Gothic" w:hAnsi="Century Gothic"/>
          <w:sz w:val="24"/>
          <w:szCs w:val="24"/>
        </w:rPr>
        <w:t>Les opérateurs de téléphonie mobile étant au cœur de cette activité, car détenant les infrastructures de base, sont donc des partenaires incontournables pour les fournisseurs de services à valeur ajoutée.</w:t>
      </w:r>
    </w:p>
    <w:p w14:paraId="407260D4" w14:textId="77777777" w:rsidR="0066468C" w:rsidRPr="00DC0ED0" w:rsidRDefault="0066468C" w:rsidP="0066468C">
      <w:pPr>
        <w:jc w:val="both"/>
        <w:rPr>
          <w:rFonts w:ascii="Century Gothic" w:hAnsi="Century Gothic"/>
          <w:sz w:val="24"/>
          <w:szCs w:val="24"/>
        </w:rPr>
      </w:pPr>
      <w:r w:rsidRPr="00DC0ED0">
        <w:rPr>
          <w:rFonts w:ascii="Century Gothic" w:hAnsi="Century Gothic"/>
          <w:sz w:val="24"/>
          <w:szCs w:val="24"/>
        </w:rPr>
        <w:t xml:space="preserve">Parmi les fournisseurs de services à valeur ajoutée déclarés, on dénombre une dizaine de fournisseurs de services financiers mobiles. A ce jour, les </w:t>
      </w:r>
      <w:bookmarkStart w:id="1" w:name="_Hlk141343399"/>
      <w:bookmarkStart w:id="2" w:name="_Hlk141084383"/>
      <w:r w:rsidRPr="00DC0ED0">
        <w:rPr>
          <w:rFonts w:ascii="Century Gothic" w:hAnsi="Century Gothic"/>
          <w:sz w:val="24"/>
          <w:szCs w:val="24"/>
        </w:rPr>
        <w:t xml:space="preserve">fournisseurs de services financiers mobiles </w:t>
      </w:r>
      <w:bookmarkEnd w:id="1"/>
      <w:r w:rsidRPr="00DC0ED0">
        <w:rPr>
          <w:rFonts w:ascii="Century Gothic" w:hAnsi="Century Gothic"/>
          <w:sz w:val="24"/>
          <w:szCs w:val="24"/>
        </w:rPr>
        <w:t>utilisant les codes USSD</w:t>
      </w:r>
      <w:bookmarkEnd w:id="2"/>
      <w:r w:rsidRPr="00DC0ED0">
        <w:rPr>
          <w:rFonts w:ascii="Century Gothic" w:hAnsi="Century Gothic"/>
          <w:sz w:val="24"/>
          <w:szCs w:val="24"/>
        </w:rPr>
        <w:t xml:space="preserve"> occupent une place de choix sur ce segment de marché. </w:t>
      </w:r>
    </w:p>
    <w:p w14:paraId="7EF971BD" w14:textId="77777777" w:rsidR="0066468C" w:rsidRPr="00DC0ED0" w:rsidRDefault="0066468C" w:rsidP="0066468C">
      <w:pPr>
        <w:jc w:val="both"/>
        <w:rPr>
          <w:rFonts w:ascii="Century Gothic" w:hAnsi="Century Gothic"/>
          <w:sz w:val="24"/>
          <w:szCs w:val="24"/>
        </w:rPr>
      </w:pPr>
      <w:r w:rsidRPr="00DC0ED0">
        <w:rPr>
          <w:rFonts w:ascii="Century Gothic" w:hAnsi="Century Gothic"/>
          <w:sz w:val="24"/>
          <w:szCs w:val="24"/>
        </w:rPr>
        <w:t xml:space="preserve">La Banque Mondiale dans le cadre de la vulgarisation de sa politique d’inclusion financière encourage l’usage des codes USSD par les </w:t>
      </w:r>
      <w:bookmarkStart w:id="3" w:name="_Hlk141087374"/>
      <w:r w:rsidRPr="00DC0ED0">
        <w:rPr>
          <w:rFonts w:ascii="Century Gothic" w:hAnsi="Century Gothic"/>
          <w:sz w:val="24"/>
          <w:szCs w:val="24"/>
        </w:rPr>
        <w:t xml:space="preserve">fournisseurs </w:t>
      </w:r>
      <w:r w:rsidRPr="00DC0ED0">
        <w:rPr>
          <w:rFonts w:ascii="Century Gothic" w:hAnsi="Century Gothic"/>
          <w:sz w:val="24"/>
          <w:szCs w:val="24"/>
        </w:rPr>
        <w:lastRenderedPageBreak/>
        <w:t>de services financiers</w:t>
      </w:r>
      <w:bookmarkEnd w:id="3"/>
      <w:r w:rsidRPr="00DC0ED0">
        <w:rPr>
          <w:rFonts w:ascii="Century Gothic" w:hAnsi="Century Gothic"/>
          <w:sz w:val="24"/>
          <w:szCs w:val="24"/>
        </w:rPr>
        <w:t xml:space="preserve"> mobiles. L’objectif visé par ladite institution est d’atteindre au minimum trente (30) fournisseurs de services financiers mobiles utilisant les codes USSD à l’horizon 2025. A cet effet, un dispositif réglementaire adéquat et incitatif devra être mis en place en vue d’atteindre cet objectif. </w:t>
      </w:r>
    </w:p>
    <w:p w14:paraId="428D5FDD" w14:textId="4DAEA5C2" w:rsidR="0066468C" w:rsidRPr="00DC0ED0" w:rsidRDefault="0066468C" w:rsidP="0066468C">
      <w:pPr>
        <w:jc w:val="both"/>
        <w:rPr>
          <w:rFonts w:ascii="Century Gothic" w:hAnsi="Century Gothic"/>
          <w:sz w:val="24"/>
          <w:szCs w:val="24"/>
        </w:rPr>
      </w:pPr>
      <w:r w:rsidRPr="00DC0ED0">
        <w:rPr>
          <w:rFonts w:ascii="Century Gothic" w:hAnsi="Century Gothic"/>
          <w:sz w:val="24"/>
          <w:szCs w:val="24"/>
        </w:rPr>
        <w:t>C’est dans cette optique que se tien</w:t>
      </w:r>
      <w:r w:rsidR="00DC0ED0" w:rsidRPr="00DC0ED0">
        <w:rPr>
          <w:rFonts w:ascii="Century Gothic" w:hAnsi="Century Gothic"/>
          <w:sz w:val="24"/>
          <w:szCs w:val="24"/>
        </w:rPr>
        <w:t>t</w:t>
      </w:r>
      <w:r w:rsidRPr="00DC0ED0">
        <w:rPr>
          <w:rFonts w:ascii="Century Gothic" w:hAnsi="Century Gothic"/>
          <w:sz w:val="24"/>
          <w:szCs w:val="24"/>
        </w:rPr>
        <w:t xml:space="preserve"> </w:t>
      </w:r>
      <w:r w:rsidR="00DC0ED0" w:rsidRPr="00DC0ED0">
        <w:rPr>
          <w:rFonts w:ascii="Century Gothic" w:hAnsi="Century Gothic"/>
          <w:sz w:val="24"/>
          <w:szCs w:val="24"/>
        </w:rPr>
        <w:t>ce vendredi 15 décembre 2023, ce</w:t>
      </w:r>
      <w:r w:rsidRPr="00DC0ED0">
        <w:rPr>
          <w:rFonts w:ascii="Century Gothic" w:hAnsi="Century Gothic"/>
          <w:sz w:val="24"/>
          <w:szCs w:val="24"/>
        </w:rPr>
        <w:t xml:space="preserve"> séminaire de réflexion organisé par l’ARTCI qui a pour thème :</w:t>
      </w:r>
    </w:p>
    <w:p w14:paraId="44A37308" w14:textId="77777777" w:rsidR="0066468C" w:rsidRPr="00DC0ED0" w:rsidRDefault="0066468C" w:rsidP="0066468C">
      <w:pPr>
        <w:jc w:val="both"/>
        <w:rPr>
          <w:rFonts w:ascii="Century Gothic" w:hAnsi="Century Gothic"/>
          <w:sz w:val="24"/>
          <w:szCs w:val="24"/>
        </w:rPr>
      </w:pPr>
      <w:r w:rsidRPr="00DC0ED0">
        <w:rPr>
          <w:rFonts w:ascii="Century Gothic" w:hAnsi="Century Gothic"/>
          <w:sz w:val="24"/>
          <w:szCs w:val="24"/>
        </w:rPr>
        <w:t xml:space="preserve">" </w:t>
      </w:r>
      <w:r w:rsidRPr="00DC0ED0">
        <w:rPr>
          <w:rFonts w:ascii="Century Gothic" w:hAnsi="Century Gothic"/>
          <w:b/>
          <w:bCs/>
          <w:i/>
          <w:iCs/>
          <w:sz w:val="24"/>
          <w:szCs w:val="24"/>
        </w:rPr>
        <w:t>Les conditions et modalités d’accès aux ressources et aux réseaux de Télécommunications/TIC pour la fourniture des services financiers mobiles</w:t>
      </w:r>
      <w:r w:rsidRPr="00DC0ED0">
        <w:rPr>
          <w:rFonts w:ascii="Century Gothic" w:hAnsi="Century Gothic"/>
          <w:sz w:val="24"/>
          <w:szCs w:val="24"/>
        </w:rPr>
        <w:t>".</w:t>
      </w:r>
    </w:p>
    <w:p w14:paraId="4D80DA43" w14:textId="77777777" w:rsidR="0066468C" w:rsidRPr="00DC0ED0" w:rsidRDefault="0066468C" w:rsidP="0066468C">
      <w:pPr>
        <w:jc w:val="both"/>
        <w:rPr>
          <w:rFonts w:ascii="Century Gothic" w:hAnsi="Century Gothic"/>
          <w:sz w:val="24"/>
          <w:szCs w:val="24"/>
        </w:rPr>
      </w:pPr>
    </w:p>
    <w:p w14:paraId="4A3E640E" w14:textId="77777777" w:rsidR="00017958" w:rsidRPr="00DC0ED0" w:rsidRDefault="00017958" w:rsidP="0066468C">
      <w:pPr>
        <w:jc w:val="both"/>
        <w:rPr>
          <w:rFonts w:ascii="Century Gothic" w:hAnsi="Century Gothic"/>
          <w:sz w:val="24"/>
          <w:szCs w:val="24"/>
        </w:rPr>
      </w:pPr>
    </w:p>
    <w:p w14:paraId="63422CCE" w14:textId="68622608" w:rsidR="0066468C" w:rsidRPr="00DC0ED0" w:rsidRDefault="00017958" w:rsidP="0066468C">
      <w:pPr>
        <w:pStyle w:val="Paragraphedeliste"/>
        <w:numPr>
          <w:ilvl w:val="0"/>
          <w:numId w:val="9"/>
        </w:numPr>
        <w:tabs>
          <w:tab w:val="left" w:pos="708"/>
          <w:tab w:val="left" w:pos="1440"/>
        </w:tabs>
        <w:suppressAutoHyphens/>
        <w:spacing w:line="240" w:lineRule="auto"/>
        <w:jc w:val="both"/>
        <w:rPr>
          <w:rFonts w:ascii="Century Gothic" w:eastAsia="Times New Roman" w:hAnsi="Century Gothic" w:cs="Verdana"/>
          <w:b/>
          <w:color w:val="ED7D31" w:themeColor="accent2"/>
          <w:sz w:val="24"/>
          <w:szCs w:val="24"/>
          <w:lang w:eastAsia="zh-CN"/>
        </w:rPr>
      </w:pPr>
      <w:r w:rsidRPr="00DC0ED0">
        <w:rPr>
          <w:rFonts w:ascii="Century Gothic" w:eastAsia="Times New Roman" w:hAnsi="Century Gothic" w:cs="Verdana"/>
          <w:b/>
          <w:color w:val="ED7D31" w:themeColor="accent2"/>
          <w:sz w:val="24"/>
          <w:szCs w:val="24"/>
          <w:lang w:eastAsia="zh-CN"/>
        </w:rPr>
        <w:t xml:space="preserve"> Cibles</w:t>
      </w:r>
    </w:p>
    <w:p w14:paraId="7CBDCD53" w14:textId="77777777" w:rsidR="0066468C" w:rsidRPr="00DC0ED0" w:rsidRDefault="0066468C" w:rsidP="0066468C">
      <w:pPr>
        <w:jc w:val="both"/>
        <w:rPr>
          <w:rFonts w:ascii="Century Gothic" w:hAnsi="Century Gothic"/>
          <w:sz w:val="24"/>
          <w:szCs w:val="24"/>
        </w:rPr>
      </w:pPr>
      <w:r w:rsidRPr="00DC0ED0">
        <w:rPr>
          <w:rFonts w:ascii="Century Gothic" w:hAnsi="Century Gothic"/>
          <w:sz w:val="24"/>
          <w:szCs w:val="24"/>
        </w:rPr>
        <w:t xml:space="preserve">Les structures concernées par ce séminaire sont les suivantes : </w:t>
      </w:r>
    </w:p>
    <w:p w14:paraId="187AD7F9" w14:textId="7593517C" w:rsidR="0066468C" w:rsidRPr="00DC0ED0" w:rsidRDefault="0066468C" w:rsidP="0066468C">
      <w:pPr>
        <w:pStyle w:val="Paragraphedeliste"/>
        <w:numPr>
          <w:ilvl w:val="0"/>
          <w:numId w:val="11"/>
        </w:numPr>
        <w:spacing w:after="200" w:line="276" w:lineRule="auto"/>
        <w:jc w:val="both"/>
        <w:rPr>
          <w:rFonts w:ascii="Century Gothic" w:hAnsi="Century Gothic"/>
          <w:sz w:val="24"/>
          <w:szCs w:val="24"/>
        </w:rPr>
      </w:pPr>
      <w:r w:rsidRPr="00DC0ED0">
        <w:rPr>
          <w:rFonts w:ascii="Century Gothic" w:hAnsi="Century Gothic"/>
          <w:sz w:val="24"/>
          <w:szCs w:val="24"/>
        </w:rPr>
        <w:t xml:space="preserve">Le Ministère de la </w:t>
      </w:r>
      <w:r w:rsidR="00DC0ED0" w:rsidRPr="00DC0ED0">
        <w:rPr>
          <w:rFonts w:ascii="Century Gothic" w:hAnsi="Century Gothic"/>
          <w:sz w:val="24"/>
          <w:szCs w:val="24"/>
        </w:rPr>
        <w:t>Transition Numérique et de la Digitalisation</w:t>
      </w:r>
      <w:r w:rsidRPr="00DC0ED0">
        <w:rPr>
          <w:rFonts w:ascii="Century Gothic" w:hAnsi="Century Gothic"/>
          <w:sz w:val="24"/>
          <w:szCs w:val="24"/>
        </w:rPr>
        <w:t xml:space="preserve"> ;</w:t>
      </w:r>
    </w:p>
    <w:p w14:paraId="3BBC37CF" w14:textId="2FAA08EB" w:rsidR="0066468C" w:rsidRPr="00DC0ED0" w:rsidRDefault="0066468C" w:rsidP="0066468C">
      <w:pPr>
        <w:pStyle w:val="Paragraphedeliste"/>
        <w:numPr>
          <w:ilvl w:val="0"/>
          <w:numId w:val="11"/>
        </w:numPr>
        <w:spacing w:after="200" w:line="276" w:lineRule="auto"/>
        <w:jc w:val="both"/>
        <w:rPr>
          <w:rFonts w:ascii="Century Gothic" w:hAnsi="Century Gothic"/>
          <w:sz w:val="24"/>
          <w:szCs w:val="24"/>
        </w:rPr>
      </w:pPr>
      <w:r w:rsidRPr="00DC0ED0">
        <w:rPr>
          <w:rFonts w:ascii="Century Gothic" w:hAnsi="Century Gothic"/>
          <w:sz w:val="24"/>
          <w:szCs w:val="24"/>
        </w:rPr>
        <w:t>L’Autorité de Régulation des Télécommunications /TIC de Côte d’Ivoire (ARTCI) ;</w:t>
      </w:r>
    </w:p>
    <w:p w14:paraId="3EB5DD8F" w14:textId="77777777" w:rsidR="0066468C" w:rsidRPr="00DC0ED0" w:rsidRDefault="0066468C" w:rsidP="0066468C">
      <w:pPr>
        <w:pStyle w:val="Paragraphedeliste"/>
        <w:numPr>
          <w:ilvl w:val="0"/>
          <w:numId w:val="11"/>
        </w:numPr>
        <w:spacing w:after="200" w:line="276" w:lineRule="auto"/>
        <w:jc w:val="both"/>
        <w:rPr>
          <w:rFonts w:ascii="Century Gothic" w:hAnsi="Century Gothic"/>
          <w:sz w:val="24"/>
          <w:szCs w:val="24"/>
        </w:rPr>
      </w:pPr>
      <w:r w:rsidRPr="00DC0ED0">
        <w:rPr>
          <w:rFonts w:ascii="Century Gothic" w:hAnsi="Century Gothic"/>
          <w:sz w:val="24"/>
          <w:szCs w:val="24"/>
        </w:rPr>
        <w:t>L’Agence de Promotion de l’Inclusion Financière (APIF) ;</w:t>
      </w:r>
    </w:p>
    <w:p w14:paraId="62019D39" w14:textId="77777777" w:rsidR="0066468C" w:rsidRPr="00DC0ED0" w:rsidRDefault="0066468C" w:rsidP="0066468C">
      <w:pPr>
        <w:pStyle w:val="Paragraphedeliste"/>
        <w:numPr>
          <w:ilvl w:val="0"/>
          <w:numId w:val="11"/>
        </w:numPr>
        <w:spacing w:after="200" w:line="276" w:lineRule="auto"/>
        <w:jc w:val="both"/>
        <w:rPr>
          <w:rFonts w:ascii="Century Gothic" w:hAnsi="Century Gothic"/>
          <w:sz w:val="24"/>
          <w:szCs w:val="24"/>
        </w:rPr>
      </w:pPr>
      <w:r w:rsidRPr="00DC0ED0">
        <w:rPr>
          <w:rFonts w:ascii="Century Gothic" w:hAnsi="Century Gothic"/>
          <w:sz w:val="24"/>
          <w:szCs w:val="24"/>
        </w:rPr>
        <w:t>L’Union Nationale des Entreprises de Télécommunications (UNETEL) ;</w:t>
      </w:r>
    </w:p>
    <w:p w14:paraId="72F99195" w14:textId="77777777" w:rsidR="0066468C" w:rsidRPr="00DC0ED0" w:rsidRDefault="0066468C" w:rsidP="0066468C">
      <w:pPr>
        <w:pStyle w:val="Paragraphedeliste"/>
        <w:numPr>
          <w:ilvl w:val="0"/>
          <w:numId w:val="11"/>
        </w:numPr>
        <w:spacing w:after="200" w:line="276" w:lineRule="auto"/>
        <w:jc w:val="both"/>
        <w:rPr>
          <w:rFonts w:ascii="Century Gothic" w:hAnsi="Century Gothic"/>
          <w:sz w:val="24"/>
          <w:szCs w:val="24"/>
        </w:rPr>
      </w:pPr>
      <w:r w:rsidRPr="00DC0ED0">
        <w:rPr>
          <w:rFonts w:ascii="Century Gothic" w:hAnsi="Century Gothic"/>
          <w:sz w:val="24"/>
          <w:szCs w:val="24"/>
        </w:rPr>
        <w:t>La représentation nationale de la Banque Mondiale ;</w:t>
      </w:r>
    </w:p>
    <w:p w14:paraId="6B530753" w14:textId="77777777" w:rsidR="0066468C" w:rsidRPr="00DC0ED0" w:rsidRDefault="0066468C" w:rsidP="0066468C">
      <w:pPr>
        <w:pStyle w:val="Paragraphedeliste"/>
        <w:numPr>
          <w:ilvl w:val="0"/>
          <w:numId w:val="11"/>
        </w:numPr>
        <w:spacing w:after="200" w:line="276" w:lineRule="auto"/>
        <w:jc w:val="both"/>
        <w:rPr>
          <w:rFonts w:ascii="Century Gothic" w:hAnsi="Century Gothic"/>
          <w:sz w:val="24"/>
          <w:szCs w:val="24"/>
        </w:rPr>
      </w:pPr>
      <w:r w:rsidRPr="00DC0ED0">
        <w:rPr>
          <w:rFonts w:ascii="Century Gothic" w:hAnsi="Century Gothic"/>
          <w:sz w:val="24"/>
          <w:szCs w:val="24"/>
        </w:rPr>
        <w:t>La représentation nationale de la BCEAO ;</w:t>
      </w:r>
    </w:p>
    <w:p w14:paraId="6B4CE147" w14:textId="77777777" w:rsidR="0066468C" w:rsidRPr="00DC0ED0" w:rsidRDefault="0066468C" w:rsidP="0066468C">
      <w:pPr>
        <w:pStyle w:val="Paragraphedeliste"/>
        <w:numPr>
          <w:ilvl w:val="0"/>
          <w:numId w:val="11"/>
        </w:numPr>
        <w:spacing w:after="200" w:line="276" w:lineRule="auto"/>
        <w:jc w:val="both"/>
        <w:rPr>
          <w:rFonts w:ascii="Century Gothic" w:hAnsi="Century Gothic"/>
          <w:sz w:val="24"/>
          <w:szCs w:val="24"/>
        </w:rPr>
      </w:pPr>
      <w:r w:rsidRPr="00DC0ED0">
        <w:rPr>
          <w:rFonts w:ascii="Century Gothic" w:hAnsi="Century Gothic"/>
          <w:sz w:val="24"/>
          <w:szCs w:val="24"/>
        </w:rPr>
        <w:t>L’Association Professionnelle des Banques et Établissements Financiers (APBEF) ;</w:t>
      </w:r>
    </w:p>
    <w:p w14:paraId="7F6B50CF" w14:textId="77777777" w:rsidR="0066468C" w:rsidRPr="00DC0ED0" w:rsidRDefault="0066468C" w:rsidP="0066468C">
      <w:pPr>
        <w:pStyle w:val="Paragraphedeliste"/>
        <w:numPr>
          <w:ilvl w:val="0"/>
          <w:numId w:val="11"/>
        </w:numPr>
        <w:spacing w:after="200" w:line="276" w:lineRule="auto"/>
        <w:jc w:val="both"/>
        <w:rPr>
          <w:rFonts w:ascii="Century Gothic" w:hAnsi="Century Gothic"/>
          <w:sz w:val="24"/>
          <w:szCs w:val="24"/>
        </w:rPr>
      </w:pPr>
      <w:r w:rsidRPr="00DC0ED0">
        <w:rPr>
          <w:rFonts w:ascii="Century Gothic" w:hAnsi="Century Gothic"/>
          <w:sz w:val="24"/>
          <w:szCs w:val="24"/>
        </w:rPr>
        <w:t>L'Association Professionnelle des Systèmes Financiers Décentralisés de Côte d'Ivoire (APSFD) ;</w:t>
      </w:r>
    </w:p>
    <w:p w14:paraId="53080451" w14:textId="77777777" w:rsidR="0066468C" w:rsidRPr="00DC0ED0" w:rsidRDefault="0066468C" w:rsidP="0066468C">
      <w:pPr>
        <w:pStyle w:val="Paragraphedeliste"/>
        <w:numPr>
          <w:ilvl w:val="0"/>
          <w:numId w:val="11"/>
        </w:numPr>
        <w:spacing w:after="200" w:line="276" w:lineRule="auto"/>
        <w:jc w:val="both"/>
        <w:rPr>
          <w:rFonts w:ascii="Century Gothic" w:hAnsi="Century Gothic"/>
          <w:sz w:val="24"/>
          <w:szCs w:val="24"/>
        </w:rPr>
      </w:pPr>
      <w:r w:rsidRPr="00DC0ED0">
        <w:rPr>
          <w:rFonts w:ascii="Century Gothic" w:hAnsi="Century Gothic"/>
          <w:sz w:val="24"/>
          <w:szCs w:val="24"/>
        </w:rPr>
        <w:t>L’Association des Sociétés d'Assurances de Côte d'Ivoire (ASA-CI) ;</w:t>
      </w:r>
    </w:p>
    <w:p w14:paraId="759A7FA6" w14:textId="77777777" w:rsidR="0066468C" w:rsidRPr="00DC0ED0" w:rsidRDefault="0066468C" w:rsidP="0066468C">
      <w:pPr>
        <w:pStyle w:val="Paragraphedeliste"/>
        <w:numPr>
          <w:ilvl w:val="0"/>
          <w:numId w:val="11"/>
        </w:numPr>
        <w:spacing w:after="200" w:line="276" w:lineRule="auto"/>
        <w:jc w:val="both"/>
        <w:rPr>
          <w:rFonts w:ascii="Century Gothic" w:hAnsi="Century Gothic"/>
          <w:sz w:val="24"/>
          <w:szCs w:val="24"/>
        </w:rPr>
      </w:pPr>
      <w:r w:rsidRPr="00DC0ED0">
        <w:rPr>
          <w:rFonts w:ascii="Century Gothic" w:hAnsi="Century Gothic"/>
          <w:sz w:val="24"/>
          <w:szCs w:val="24"/>
        </w:rPr>
        <w:t xml:space="preserve">Côte d’Ivoire Fintech Association (CIFA). </w:t>
      </w:r>
    </w:p>
    <w:p w14:paraId="431FF68B" w14:textId="77777777" w:rsidR="0066468C" w:rsidRPr="00DC0ED0" w:rsidRDefault="0066468C" w:rsidP="0066468C">
      <w:pPr>
        <w:pStyle w:val="Paragraphedeliste"/>
        <w:numPr>
          <w:ilvl w:val="0"/>
          <w:numId w:val="11"/>
        </w:numPr>
        <w:spacing w:after="200" w:line="276" w:lineRule="auto"/>
        <w:jc w:val="both"/>
        <w:rPr>
          <w:rFonts w:ascii="Century Gothic" w:hAnsi="Century Gothic"/>
          <w:sz w:val="24"/>
          <w:szCs w:val="24"/>
        </w:rPr>
      </w:pPr>
      <w:r w:rsidRPr="00DC0ED0">
        <w:rPr>
          <w:rFonts w:ascii="Century Gothic" w:hAnsi="Century Gothic"/>
          <w:sz w:val="24"/>
          <w:szCs w:val="24"/>
        </w:rPr>
        <w:t>Côte d’Ivoire Innovation 20 (CI20) ;</w:t>
      </w:r>
    </w:p>
    <w:p w14:paraId="3C421A6C" w14:textId="77777777" w:rsidR="0066468C" w:rsidRPr="00DC0ED0" w:rsidRDefault="0066468C" w:rsidP="0066468C">
      <w:pPr>
        <w:pStyle w:val="Paragraphedeliste"/>
        <w:numPr>
          <w:ilvl w:val="0"/>
          <w:numId w:val="11"/>
        </w:numPr>
        <w:spacing w:after="200" w:line="276" w:lineRule="auto"/>
        <w:jc w:val="both"/>
        <w:rPr>
          <w:rFonts w:ascii="Century Gothic" w:hAnsi="Century Gothic"/>
          <w:sz w:val="24"/>
          <w:szCs w:val="24"/>
        </w:rPr>
      </w:pPr>
      <w:r w:rsidRPr="00DC0ED0">
        <w:rPr>
          <w:rFonts w:ascii="Century Gothic" w:hAnsi="Century Gothic"/>
          <w:sz w:val="24"/>
          <w:szCs w:val="24"/>
        </w:rPr>
        <w:t>Les Opérateurs de téléphonie (ORANGE CI, MTN CI, MOOV AFRICA CI) ;</w:t>
      </w:r>
    </w:p>
    <w:p w14:paraId="4EFC789A" w14:textId="77777777" w:rsidR="0066468C" w:rsidRPr="00DC0ED0" w:rsidRDefault="0066468C" w:rsidP="0066468C">
      <w:pPr>
        <w:pStyle w:val="Paragraphedeliste"/>
        <w:numPr>
          <w:ilvl w:val="0"/>
          <w:numId w:val="11"/>
        </w:numPr>
        <w:spacing w:after="200" w:line="276" w:lineRule="auto"/>
        <w:rPr>
          <w:rFonts w:ascii="Century Gothic" w:hAnsi="Century Gothic"/>
          <w:sz w:val="24"/>
          <w:szCs w:val="24"/>
        </w:rPr>
      </w:pPr>
      <w:r w:rsidRPr="00DC0ED0">
        <w:rPr>
          <w:rFonts w:ascii="Century Gothic" w:hAnsi="Century Gothic"/>
          <w:sz w:val="24"/>
          <w:szCs w:val="24"/>
        </w:rPr>
        <w:t>Les Emetteurs de Monnaie Electronique (EME) ;</w:t>
      </w:r>
    </w:p>
    <w:p w14:paraId="46AB7DD8" w14:textId="77777777" w:rsidR="0066468C" w:rsidRPr="00DC0ED0" w:rsidRDefault="0066468C" w:rsidP="0066468C">
      <w:pPr>
        <w:pStyle w:val="Paragraphedeliste"/>
        <w:numPr>
          <w:ilvl w:val="0"/>
          <w:numId w:val="11"/>
        </w:numPr>
        <w:spacing w:after="200" w:line="276" w:lineRule="auto"/>
        <w:jc w:val="both"/>
        <w:rPr>
          <w:rFonts w:ascii="Century Gothic" w:hAnsi="Century Gothic"/>
          <w:sz w:val="24"/>
          <w:szCs w:val="24"/>
        </w:rPr>
      </w:pPr>
      <w:r w:rsidRPr="00DC0ED0">
        <w:rPr>
          <w:rFonts w:ascii="Century Gothic" w:hAnsi="Century Gothic"/>
          <w:sz w:val="24"/>
          <w:szCs w:val="24"/>
        </w:rPr>
        <w:t>Et les Fournisseurs de services à valeur ajoutée.</w:t>
      </w:r>
    </w:p>
    <w:p w14:paraId="3C078F67" w14:textId="77777777" w:rsidR="0066468C" w:rsidRPr="00DC0ED0" w:rsidRDefault="0066468C" w:rsidP="0066468C">
      <w:pPr>
        <w:jc w:val="both"/>
        <w:rPr>
          <w:rFonts w:ascii="Century Gothic" w:hAnsi="Century Gothic"/>
          <w:sz w:val="24"/>
          <w:szCs w:val="24"/>
        </w:rPr>
      </w:pPr>
      <w:r w:rsidRPr="00DC0ED0">
        <w:rPr>
          <w:rFonts w:ascii="Century Gothic" w:hAnsi="Century Gothic"/>
          <w:sz w:val="24"/>
          <w:szCs w:val="24"/>
        </w:rPr>
        <w:t>Cette tribune d’échanges permettra aux fournisseurs de services financiers mobiles de faire l’état des conditions d’exercice de leurs activités, de relever l’ensemble de leurs préoccupations</w:t>
      </w:r>
      <w:r w:rsidRPr="00DC0ED0">
        <w:rPr>
          <w:rFonts w:ascii="Century Gothic" w:hAnsi="Century Gothic"/>
          <w:color w:val="000000" w:themeColor="text1"/>
          <w:sz w:val="24"/>
          <w:szCs w:val="24"/>
        </w:rPr>
        <w:t xml:space="preserve"> et difficultés, de proposer </w:t>
      </w:r>
      <w:r w:rsidRPr="00DC0ED0">
        <w:rPr>
          <w:rFonts w:ascii="Century Gothic" w:hAnsi="Century Gothic"/>
          <w:sz w:val="24"/>
          <w:szCs w:val="24"/>
        </w:rPr>
        <w:t xml:space="preserve">des solutions et faire des recommandations pour le développement de ce segment de marché. </w:t>
      </w:r>
    </w:p>
    <w:p w14:paraId="0A346165" w14:textId="77777777" w:rsidR="00DC0ED0" w:rsidRDefault="00DC0ED0" w:rsidP="0066468C">
      <w:pPr>
        <w:jc w:val="both"/>
        <w:rPr>
          <w:rFonts w:ascii="Century Gothic" w:hAnsi="Century Gothic"/>
          <w:sz w:val="24"/>
          <w:szCs w:val="24"/>
        </w:rPr>
      </w:pPr>
    </w:p>
    <w:p w14:paraId="10174762" w14:textId="77777777" w:rsidR="00DC0ED0" w:rsidRDefault="00DC0ED0" w:rsidP="0066468C">
      <w:pPr>
        <w:jc w:val="both"/>
        <w:rPr>
          <w:rFonts w:ascii="Century Gothic" w:hAnsi="Century Gothic"/>
          <w:sz w:val="24"/>
          <w:szCs w:val="24"/>
        </w:rPr>
      </w:pPr>
    </w:p>
    <w:p w14:paraId="4AEA3A65" w14:textId="77777777" w:rsidR="00DC0ED0" w:rsidRPr="00DC0ED0" w:rsidRDefault="00DC0ED0" w:rsidP="0066468C">
      <w:pPr>
        <w:jc w:val="both"/>
        <w:rPr>
          <w:rFonts w:ascii="Century Gothic" w:hAnsi="Century Gothic"/>
          <w:sz w:val="24"/>
          <w:szCs w:val="24"/>
        </w:rPr>
      </w:pPr>
    </w:p>
    <w:p w14:paraId="0B1DAB09" w14:textId="1EF35353" w:rsidR="0066468C" w:rsidRPr="00DC0ED0" w:rsidRDefault="0066468C" w:rsidP="00017958">
      <w:pPr>
        <w:pStyle w:val="Paragraphedeliste"/>
        <w:numPr>
          <w:ilvl w:val="0"/>
          <w:numId w:val="9"/>
        </w:numPr>
        <w:tabs>
          <w:tab w:val="left" w:pos="708"/>
          <w:tab w:val="left" w:pos="1440"/>
        </w:tabs>
        <w:suppressAutoHyphens/>
        <w:spacing w:line="240" w:lineRule="auto"/>
        <w:jc w:val="both"/>
        <w:rPr>
          <w:rFonts w:ascii="Century Gothic" w:eastAsia="Times New Roman" w:hAnsi="Century Gothic" w:cs="Verdana"/>
          <w:b/>
          <w:color w:val="ED7D31" w:themeColor="accent2"/>
          <w:sz w:val="24"/>
          <w:szCs w:val="24"/>
          <w:lang w:eastAsia="zh-CN"/>
        </w:rPr>
      </w:pPr>
      <w:bookmarkStart w:id="4" w:name="_Ref444671672"/>
      <w:bookmarkStart w:id="5" w:name="_Toc143093617"/>
      <w:r w:rsidRPr="00DC0ED0">
        <w:rPr>
          <w:rFonts w:ascii="Century Gothic" w:eastAsia="Times New Roman" w:hAnsi="Century Gothic" w:cs="Verdana"/>
          <w:b/>
          <w:color w:val="ED7D31" w:themeColor="accent2"/>
          <w:sz w:val="24"/>
          <w:szCs w:val="24"/>
          <w:lang w:eastAsia="zh-CN"/>
        </w:rPr>
        <w:lastRenderedPageBreak/>
        <w:tab/>
        <w:t>Objectifs</w:t>
      </w:r>
      <w:bookmarkEnd w:id="4"/>
      <w:bookmarkEnd w:id="5"/>
      <w:r w:rsidRPr="00DC0ED0">
        <w:rPr>
          <w:rFonts w:ascii="Century Gothic" w:eastAsia="Times New Roman" w:hAnsi="Century Gothic" w:cs="Verdana"/>
          <w:b/>
          <w:color w:val="ED7D31" w:themeColor="accent2"/>
          <w:sz w:val="24"/>
          <w:szCs w:val="24"/>
          <w:lang w:eastAsia="zh-CN"/>
        </w:rPr>
        <w:t xml:space="preserve">  </w:t>
      </w:r>
    </w:p>
    <w:p w14:paraId="0C3739AF" w14:textId="77777777" w:rsidR="0066468C" w:rsidRDefault="0066468C" w:rsidP="0066468C">
      <w:pPr>
        <w:jc w:val="both"/>
        <w:rPr>
          <w:rFonts w:ascii="Century Gothic" w:hAnsi="Century Gothic"/>
          <w:sz w:val="24"/>
          <w:szCs w:val="24"/>
        </w:rPr>
      </w:pPr>
      <w:r w:rsidRPr="00DC0ED0">
        <w:rPr>
          <w:rFonts w:ascii="Century Gothic" w:hAnsi="Century Gothic"/>
          <w:sz w:val="24"/>
          <w:szCs w:val="24"/>
        </w:rPr>
        <w:t>Ce séminaire vise à réunir les fournisseurs de services à valeur ajoutée, principalement les fournisseurs de services financiers mobiles (Fintech et startup) et les opérateurs de téléphonie mobile, afin de faire l’état des conditions et modalités d’accès aux réseaux et ressources de Télécommunications (Codes USSD), d’identifier les difficultés éventuelles d’une part ; et de proposer des solutions idoines pour le développement et la redynamisation de ce segment de marché, d’autre part.</w:t>
      </w:r>
    </w:p>
    <w:p w14:paraId="1F39B6EB" w14:textId="77777777" w:rsidR="00DC0ED0" w:rsidRPr="00DC0ED0" w:rsidRDefault="00DC0ED0" w:rsidP="0066468C">
      <w:pPr>
        <w:jc w:val="both"/>
        <w:rPr>
          <w:rFonts w:ascii="Century Gothic" w:hAnsi="Century Gothic"/>
          <w:sz w:val="24"/>
          <w:szCs w:val="24"/>
        </w:rPr>
      </w:pPr>
    </w:p>
    <w:p w14:paraId="3DACB801" w14:textId="60650A21" w:rsidR="0066468C" w:rsidRPr="00DC0ED0" w:rsidRDefault="0066468C" w:rsidP="00017958">
      <w:pPr>
        <w:pStyle w:val="Paragraphedeliste"/>
        <w:numPr>
          <w:ilvl w:val="0"/>
          <w:numId w:val="9"/>
        </w:numPr>
        <w:tabs>
          <w:tab w:val="left" w:pos="708"/>
          <w:tab w:val="left" w:pos="1440"/>
        </w:tabs>
        <w:suppressAutoHyphens/>
        <w:spacing w:line="240" w:lineRule="auto"/>
        <w:jc w:val="both"/>
        <w:rPr>
          <w:rFonts w:ascii="Century Gothic" w:eastAsia="Times New Roman" w:hAnsi="Century Gothic" w:cs="Verdana"/>
          <w:b/>
          <w:color w:val="ED7D31" w:themeColor="accent2"/>
          <w:sz w:val="24"/>
          <w:szCs w:val="24"/>
          <w:lang w:eastAsia="zh-CN"/>
        </w:rPr>
      </w:pPr>
      <w:bookmarkStart w:id="6" w:name="_Ref413413996"/>
      <w:bookmarkStart w:id="7" w:name="_Ref474933581"/>
      <w:bookmarkStart w:id="8" w:name="_Ref525124560"/>
      <w:bookmarkStart w:id="9" w:name="_Toc143093618"/>
      <w:r w:rsidRPr="00DC0ED0">
        <w:rPr>
          <w:rFonts w:ascii="Century Gothic" w:eastAsia="Times New Roman" w:hAnsi="Century Gothic" w:cs="Verdana"/>
          <w:b/>
          <w:color w:val="ED7D31" w:themeColor="accent2"/>
          <w:sz w:val="24"/>
          <w:szCs w:val="24"/>
          <w:lang w:eastAsia="zh-CN"/>
        </w:rPr>
        <w:tab/>
        <w:t>Résultats attendus</w:t>
      </w:r>
      <w:bookmarkEnd w:id="6"/>
      <w:bookmarkEnd w:id="7"/>
      <w:bookmarkEnd w:id="8"/>
      <w:bookmarkEnd w:id="9"/>
    </w:p>
    <w:p w14:paraId="261BD881" w14:textId="77777777" w:rsidR="0066468C" w:rsidRPr="00DC0ED0" w:rsidRDefault="0066468C" w:rsidP="0066468C">
      <w:pPr>
        <w:jc w:val="both"/>
        <w:rPr>
          <w:rFonts w:ascii="Century Gothic" w:hAnsi="Century Gothic"/>
          <w:sz w:val="24"/>
          <w:szCs w:val="24"/>
        </w:rPr>
      </w:pPr>
      <w:bookmarkStart w:id="10" w:name="_Hlk128479693"/>
      <w:r w:rsidRPr="00DC0ED0">
        <w:rPr>
          <w:rFonts w:ascii="Century Gothic" w:hAnsi="Century Gothic"/>
          <w:sz w:val="24"/>
          <w:szCs w:val="24"/>
        </w:rPr>
        <w:t>Les résultats attendus aux termes de ce séminaire sont :</w:t>
      </w:r>
    </w:p>
    <w:p w14:paraId="154D940C" w14:textId="77777777" w:rsidR="0066468C" w:rsidRPr="00DC0ED0" w:rsidRDefault="0066468C" w:rsidP="0066468C">
      <w:pPr>
        <w:pStyle w:val="Paragraphedeliste"/>
        <w:numPr>
          <w:ilvl w:val="0"/>
          <w:numId w:val="12"/>
        </w:numPr>
        <w:spacing w:after="200" w:line="276" w:lineRule="auto"/>
        <w:jc w:val="both"/>
        <w:rPr>
          <w:rFonts w:ascii="Century Gothic" w:hAnsi="Century Gothic"/>
          <w:sz w:val="24"/>
          <w:szCs w:val="24"/>
        </w:rPr>
      </w:pPr>
      <w:r w:rsidRPr="00DC0ED0">
        <w:rPr>
          <w:rFonts w:ascii="Century Gothic" w:hAnsi="Century Gothic"/>
          <w:sz w:val="24"/>
          <w:szCs w:val="24"/>
        </w:rPr>
        <w:t>Identification des problèmes rencontrés par les fournisseurs de services à valeur ajoutée ;</w:t>
      </w:r>
    </w:p>
    <w:p w14:paraId="5C355943" w14:textId="77777777" w:rsidR="0066468C" w:rsidRPr="00DC0ED0" w:rsidRDefault="0066468C" w:rsidP="0066468C">
      <w:pPr>
        <w:pStyle w:val="Paragraphedeliste"/>
        <w:numPr>
          <w:ilvl w:val="0"/>
          <w:numId w:val="12"/>
        </w:numPr>
        <w:spacing w:after="200" w:line="276" w:lineRule="auto"/>
        <w:jc w:val="both"/>
        <w:rPr>
          <w:rFonts w:ascii="Century Gothic" w:hAnsi="Century Gothic"/>
          <w:sz w:val="24"/>
          <w:szCs w:val="24"/>
        </w:rPr>
      </w:pPr>
      <w:r w:rsidRPr="00DC0ED0">
        <w:rPr>
          <w:rFonts w:ascii="Century Gothic" w:hAnsi="Century Gothic"/>
          <w:sz w:val="24"/>
          <w:szCs w:val="24"/>
        </w:rPr>
        <w:t>Propositions de solutions adéquates pour le développement de l'activité de fourniture de services à valeur ajoutée ;</w:t>
      </w:r>
    </w:p>
    <w:p w14:paraId="7F9DB1C6" w14:textId="77777777" w:rsidR="00017958" w:rsidRPr="00DC0ED0" w:rsidRDefault="0066468C" w:rsidP="00017958">
      <w:pPr>
        <w:pStyle w:val="Paragraphedeliste"/>
        <w:numPr>
          <w:ilvl w:val="0"/>
          <w:numId w:val="12"/>
        </w:numPr>
        <w:spacing w:after="200" w:line="276" w:lineRule="auto"/>
        <w:jc w:val="both"/>
        <w:rPr>
          <w:rFonts w:ascii="Century Gothic" w:hAnsi="Century Gothic"/>
          <w:sz w:val="24"/>
          <w:szCs w:val="24"/>
        </w:rPr>
      </w:pPr>
      <w:r w:rsidRPr="00DC0ED0">
        <w:rPr>
          <w:rFonts w:ascii="Century Gothic" w:hAnsi="Century Gothic"/>
          <w:sz w:val="24"/>
          <w:szCs w:val="24"/>
        </w:rPr>
        <w:t>Elaboration du rapport et des recommandations du séminaire.</w:t>
      </w:r>
      <w:bookmarkStart w:id="11" w:name="_Toc468297674"/>
      <w:bookmarkStart w:id="12" w:name="_Toc468297899"/>
      <w:bookmarkStart w:id="13" w:name="_Toc366669759"/>
      <w:bookmarkEnd w:id="10"/>
      <w:bookmarkEnd w:id="11"/>
      <w:bookmarkEnd w:id="12"/>
      <w:bookmarkEnd w:id="13"/>
    </w:p>
    <w:p w14:paraId="5206454D" w14:textId="77777777" w:rsidR="00017958" w:rsidRDefault="00017958" w:rsidP="00017958">
      <w:pPr>
        <w:pStyle w:val="Paragraphedeliste"/>
        <w:tabs>
          <w:tab w:val="left" w:pos="708"/>
          <w:tab w:val="left" w:pos="1440"/>
        </w:tabs>
        <w:suppressAutoHyphens/>
        <w:spacing w:line="240" w:lineRule="auto"/>
        <w:ind w:left="1080"/>
        <w:jc w:val="both"/>
        <w:rPr>
          <w:rFonts w:ascii="Century Gothic" w:eastAsia="Times New Roman" w:hAnsi="Century Gothic" w:cs="Verdana"/>
          <w:b/>
          <w:color w:val="ED7D31" w:themeColor="accent2"/>
          <w:sz w:val="24"/>
          <w:szCs w:val="24"/>
          <w:lang w:eastAsia="zh-CN"/>
        </w:rPr>
      </w:pPr>
    </w:p>
    <w:p w14:paraId="528E4299" w14:textId="77777777" w:rsidR="00DC0ED0" w:rsidRPr="00DC0ED0" w:rsidRDefault="00DC0ED0" w:rsidP="00017958">
      <w:pPr>
        <w:pStyle w:val="Paragraphedeliste"/>
        <w:tabs>
          <w:tab w:val="left" w:pos="708"/>
          <w:tab w:val="left" w:pos="1440"/>
        </w:tabs>
        <w:suppressAutoHyphens/>
        <w:spacing w:line="240" w:lineRule="auto"/>
        <w:ind w:left="1080"/>
        <w:jc w:val="both"/>
        <w:rPr>
          <w:rFonts w:ascii="Century Gothic" w:eastAsia="Times New Roman" w:hAnsi="Century Gothic" w:cs="Verdana"/>
          <w:b/>
          <w:color w:val="ED7D31" w:themeColor="accent2"/>
          <w:sz w:val="24"/>
          <w:szCs w:val="24"/>
          <w:lang w:eastAsia="zh-CN"/>
        </w:rPr>
      </w:pPr>
    </w:p>
    <w:p w14:paraId="5B2D149C" w14:textId="7363C719" w:rsidR="0066468C" w:rsidRPr="00DC0ED0" w:rsidRDefault="0066468C" w:rsidP="00017958">
      <w:pPr>
        <w:pStyle w:val="Paragraphedeliste"/>
        <w:numPr>
          <w:ilvl w:val="0"/>
          <w:numId w:val="9"/>
        </w:numPr>
        <w:tabs>
          <w:tab w:val="left" w:pos="708"/>
          <w:tab w:val="left" w:pos="1440"/>
        </w:tabs>
        <w:suppressAutoHyphens/>
        <w:spacing w:line="240" w:lineRule="auto"/>
        <w:jc w:val="both"/>
        <w:rPr>
          <w:rFonts w:ascii="Century Gothic" w:eastAsia="Times New Roman" w:hAnsi="Century Gothic" w:cs="Verdana"/>
          <w:b/>
          <w:color w:val="ED7D31" w:themeColor="accent2"/>
          <w:sz w:val="24"/>
          <w:szCs w:val="24"/>
          <w:lang w:eastAsia="zh-CN"/>
        </w:rPr>
      </w:pPr>
      <w:bookmarkStart w:id="14" w:name="_Toc143093621"/>
      <w:r w:rsidRPr="00DC0ED0">
        <w:rPr>
          <w:rFonts w:ascii="Century Gothic" w:eastAsia="Times New Roman" w:hAnsi="Century Gothic" w:cs="Verdana"/>
          <w:b/>
          <w:color w:val="ED7D31" w:themeColor="accent2"/>
          <w:sz w:val="24"/>
          <w:szCs w:val="24"/>
          <w:lang w:eastAsia="zh-CN"/>
        </w:rPr>
        <w:t xml:space="preserve">Programme </w:t>
      </w:r>
      <w:bookmarkEnd w:id="14"/>
    </w:p>
    <w:p w14:paraId="6B7C8D6B" w14:textId="3676256A" w:rsidR="0066468C" w:rsidRPr="00DC0ED0" w:rsidRDefault="0066468C" w:rsidP="0066468C">
      <w:pPr>
        <w:jc w:val="both"/>
        <w:rPr>
          <w:rFonts w:ascii="Century Gothic" w:hAnsi="Century Gothic"/>
          <w:sz w:val="24"/>
          <w:szCs w:val="24"/>
        </w:rPr>
      </w:pPr>
      <w:r w:rsidRPr="00DC0ED0">
        <w:rPr>
          <w:rFonts w:ascii="Century Gothic" w:hAnsi="Century Gothic"/>
          <w:sz w:val="24"/>
          <w:szCs w:val="24"/>
        </w:rPr>
        <w:t>Le programme du séminaire est le suivant :</w:t>
      </w:r>
    </w:p>
    <w:tbl>
      <w:tblPr>
        <w:tblStyle w:val="Grilledutableau"/>
        <w:tblpPr w:leftFromText="141" w:rightFromText="141" w:vertAnchor="text" w:tblpY="1"/>
        <w:tblOverlap w:val="never"/>
        <w:tblW w:w="0" w:type="auto"/>
        <w:tblInd w:w="0" w:type="dxa"/>
        <w:tblLook w:val="04A0" w:firstRow="1" w:lastRow="0" w:firstColumn="1" w:lastColumn="0" w:noHBand="0" w:noVBand="1"/>
      </w:tblPr>
      <w:tblGrid>
        <w:gridCol w:w="1838"/>
        <w:gridCol w:w="6946"/>
      </w:tblGrid>
      <w:tr w:rsidR="0066468C" w:rsidRPr="00DC0ED0" w14:paraId="4F73E90C" w14:textId="77777777" w:rsidTr="0066468C">
        <w:trPr>
          <w:trHeight w:val="415"/>
        </w:trPr>
        <w:tc>
          <w:tcPr>
            <w:tcW w:w="878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244A3F87" w14:textId="77777777" w:rsidR="0066468C" w:rsidRPr="00DC0ED0" w:rsidRDefault="0066468C">
            <w:pPr>
              <w:jc w:val="center"/>
              <w:rPr>
                <w:rFonts w:ascii="Century Gothic" w:hAnsi="Century Gothic"/>
                <w:b/>
                <w:bCs/>
                <w:sz w:val="24"/>
                <w:szCs w:val="24"/>
              </w:rPr>
            </w:pPr>
            <w:r w:rsidRPr="00DC0ED0">
              <w:rPr>
                <w:rFonts w:ascii="Century Gothic" w:hAnsi="Century Gothic"/>
                <w:b/>
                <w:bCs/>
                <w:sz w:val="24"/>
                <w:szCs w:val="24"/>
              </w:rPr>
              <w:t xml:space="preserve">JOURNEE </w:t>
            </w:r>
          </w:p>
        </w:tc>
      </w:tr>
      <w:tr w:rsidR="0066468C" w:rsidRPr="00DC0ED0" w14:paraId="57599ADE" w14:textId="77777777" w:rsidTr="0066468C">
        <w:trPr>
          <w:trHeight w:val="431"/>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2CC04462"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t>08h00 - 08h30</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70C20F7" w14:textId="77777777" w:rsidR="0066468C" w:rsidRPr="00DC0ED0" w:rsidRDefault="0066468C">
            <w:pPr>
              <w:rPr>
                <w:rFonts w:ascii="Century Gothic" w:hAnsi="Century Gothic"/>
                <w:sz w:val="24"/>
                <w:szCs w:val="24"/>
              </w:rPr>
            </w:pPr>
            <w:r w:rsidRPr="00DC0ED0">
              <w:rPr>
                <w:rFonts w:ascii="Century Gothic" w:hAnsi="Century Gothic"/>
                <w:sz w:val="24"/>
                <w:szCs w:val="24"/>
              </w:rPr>
              <w:t>Accueil et installation des participants</w:t>
            </w:r>
          </w:p>
        </w:tc>
      </w:tr>
      <w:tr w:rsidR="0066468C" w:rsidRPr="00DC0ED0" w14:paraId="55EB3EBB" w14:textId="77777777" w:rsidTr="0066468C">
        <w:trPr>
          <w:trHeight w:val="393"/>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23970926"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t>08h30 - 08h45</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446A9C1" w14:textId="77777777" w:rsidR="0066468C" w:rsidRPr="00DC0ED0" w:rsidRDefault="0066468C">
            <w:pPr>
              <w:rPr>
                <w:rFonts w:ascii="Century Gothic" w:hAnsi="Century Gothic"/>
                <w:sz w:val="24"/>
                <w:szCs w:val="24"/>
              </w:rPr>
            </w:pPr>
            <w:r w:rsidRPr="00DC0ED0">
              <w:rPr>
                <w:rFonts w:ascii="Century Gothic" w:hAnsi="Century Gothic"/>
                <w:sz w:val="24"/>
                <w:szCs w:val="24"/>
              </w:rPr>
              <w:t xml:space="preserve">Discours d’ouverture du DG de l’ARTCI ou son représentant </w:t>
            </w:r>
          </w:p>
        </w:tc>
      </w:tr>
      <w:tr w:rsidR="0066468C" w:rsidRPr="00DC0ED0" w14:paraId="6968D1C9" w14:textId="77777777" w:rsidTr="0066468C">
        <w:trPr>
          <w:trHeight w:val="408"/>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3CD2823F"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t>08h45 – 09h05</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2DB7D74" w14:textId="77777777" w:rsidR="0066468C" w:rsidRPr="00DC0ED0" w:rsidRDefault="0066468C">
            <w:pPr>
              <w:jc w:val="both"/>
              <w:rPr>
                <w:rFonts w:ascii="Century Gothic" w:hAnsi="Century Gothic"/>
                <w:sz w:val="24"/>
                <w:szCs w:val="24"/>
              </w:rPr>
            </w:pPr>
            <w:r w:rsidRPr="00DC0ED0">
              <w:rPr>
                <w:rFonts w:ascii="Century Gothic" w:hAnsi="Century Gothic"/>
                <w:b/>
                <w:bCs/>
                <w:sz w:val="24"/>
                <w:szCs w:val="24"/>
              </w:rPr>
              <w:t>Présentation 1</w:t>
            </w:r>
            <w:r w:rsidRPr="00DC0ED0">
              <w:rPr>
                <w:rFonts w:ascii="Century Gothic" w:hAnsi="Century Gothic"/>
                <w:sz w:val="24"/>
                <w:szCs w:val="24"/>
              </w:rPr>
              <w:t xml:space="preserve"> (ARTCI) : Les services à valeur ajoutée en Côte d’Ivoire : Défis et enjeux de la régulation </w:t>
            </w:r>
          </w:p>
        </w:tc>
      </w:tr>
      <w:tr w:rsidR="0066468C" w:rsidRPr="00DC0ED0" w14:paraId="07874FA7" w14:textId="77777777" w:rsidTr="0066468C">
        <w:trPr>
          <w:trHeight w:val="405"/>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7544F597"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t>09h10 – 09h30</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18E9F6F" w14:textId="77777777" w:rsidR="0066468C" w:rsidRPr="00DC0ED0" w:rsidRDefault="0066468C">
            <w:pPr>
              <w:jc w:val="both"/>
              <w:rPr>
                <w:rFonts w:ascii="Century Gothic" w:hAnsi="Century Gothic"/>
                <w:sz w:val="24"/>
                <w:szCs w:val="24"/>
              </w:rPr>
            </w:pPr>
            <w:r w:rsidRPr="00DC0ED0">
              <w:rPr>
                <w:rFonts w:ascii="Century Gothic" w:hAnsi="Century Gothic"/>
                <w:b/>
                <w:bCs/>
                <w:sz w:val="24"/>
                <w:szCs w:val="24"/>
              </w:rPr>
              <w:t>Présentation 2</w:t>
            </w:r>
            <w:r w:rsidRPr="00DC0ED0">
              <w:rPr>
                <w:rFonts w:ascii="Century Gothic" w:hAnsi="Century Gothic"/>
                <w:sz w:val="24"/>
                <w:szCs w:val="24"/>
              </w:rPr>
              <w:t xml:space="preserve"> (Banque Mondiale) :  La contribution de l’inclusion financière dans l’accélération du développement économique de la Côte d’Ivoire</w:t>
            </w:r>
          </w:p>
        </w:tc>
      </w:tr>
      <w:tr w:rsidR="0066468C" w:rsidRPr="00DC0ED0" w14:paraId="70A39E11" w14:textId="77777777" w:rsidTr="0066468C">
        <w:trPr>
          <w:trHeight w:val="426"/>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6D07638D"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t>09h35 – 09h55</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F8306AB" w14:textId="77777777" w:rsidR="0066468C" w:rsidRPr="00DC0ED0" w:rsidRDefault="0066468C">
            <w:pPr>
              <w:jc w:val="both"/>
              <w:rPr>
                <w:rFonts w:ascii="Century Gothic" w:hAnsi="Century Gothic"/>
                <w:sz w:val="24"/>
                <w:szCs w:val="24"/>
              </w:rPr>
            </w:pPr>
            <w:r w:rsidRPr="00DC0ED0">
              <w:rPr>
                <w:rFonts w:ascii="Century Gothic" w:hAnsi="Century Gothic"/>
                <w:b/>
                <w:bCs/>
                <w:sz w:val="24"/>
                <w:szCs w:val="24"/>
              </w:rPr>
              <w:t>Présentation 3</w:t>
            </w:r>
            <w:r w:rsidRPr="00DC0ED0">
              <w:rPr>
                <w:rFonts w:ascii="Century Gothic" w:hAnsi="Century Gothic"/>
                <w:sz w:val="24"/>
                <w:szCs w:val="24"/>
              </w:rPr>
              <w:t xml:space="preserve"> (APIF) : Les services financiers mobiles/ Les perspectives de développement de l’inclusion financière en CI</w:t>
            </w:r>
            <w:r w:rsidRPr="00DC0ED0">
              <w:rPr>
                <w:rFonts w:ascii="Century Gothic" w:hAnsi="Century Gothic"/>
                <w:b/>
                <w:bCs/>
                <w:sz w:val="24"/>
                <w:szCs w:val="24"/>
              </w:rPr>
              <w:t xml:space="preserve"> </w:t>
            </w:r>
          </w:p>
        </w:tc>
      </w:tr>
      <w:tr w:rsidR="0066468C" w:rsidRPr="00DC0ED0" w14:paraId="29061862" w14:textId="77777777" w:rsidTr="0066468C">
        <w:trPr>
          <w:trHeight w:val="709"/>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4FF3EB1C"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t>10h00-10h20</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B8F719A" w14:textId="77777777" w:rsidR="0066468C" w:rsidRPr="00DC0ED0" w:rsidRDefault="0066468C">
            <w:pPr>
              <w:jc w:val="both"/>
              <w:rPr>
                <w:rFonts w:ascii="Century Gothic" w:hAnsi="Century Gothic"/>
                <w:sz w:val="24"/>
                <w:szCs w:val="24"/>
              </w:rPr>
            </w:pPr>
            <w:r w:rsidRPr="00DC0ED0">
              <w:rPr>
                <w:rFonts w:ascii="Century Gothic" w:hAnsi="Century Gothic"/>
                <w:b/>
                <w:bCs/>
                <w:sz w:val="24"/>
                <w:szCs w:val="24"/>
              </w:rPr>
              <w:t>Présentation 4</w:t>
            </w:r>
            <w:r w:rsidRPr="00DC0ED0">
              <w:rPr>
                <w:rFonts w:ascii="Century Gothic" w:hAnsi="Century Gothic"/>
                <w:sz w:val="24"/>
                <w:szCs w:val="24"/>
              </w:rPr>
              <w:t xml:space="preserve"> (Côte d’Ivoire Fintech Association) : L’apport des services financiers mobiles dans la dynamisation de l’inclusion financière en Côte d’ivoire</w:t>
            </w:r>
          </w:p>
        </w:tc>
      </w:tr>
      <w:tr w:rsidR="0066468C" w:rsidRPr="00DC0ED0" w14:paraId="05A2E99F" w14:textId="77777777" w:rsidTr="0066468C">
        <w:trPr>
          <w:trHeight w:val="591"/>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69E22F9B"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t>10h25-10h45</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5493C81" w14:textId="77777777" w:rsidR="0066468C" w:rsidRPr="00DC0ED0" w:rsidRDefault="0066468C">
            <w:pPr>
              <w:rPr>
                <w:rFonts w:ascii="Century Gothic" w:hAnsi="Century Gothic"/>
                <w:sz w:val="24"/>
                <w:szCs w:val="24"/>
              </w:rPr>
            </w:pPr>
            <w:r w:rsidRPr="00DC0ED0">
              <w:rPr>
                <w:rFonts w:ascii="Century Gothic" w:hAnsi="Century Gothic"/>
                <w:b/>
                <w:bCs/>
                <w:sz w:val="24"/>
                <w:szCs w:val="24"/>
              </w:rPr>
              <w:t>Présentation 5</w:t>
            </w:r>
            <w:r w:rsidRPr="00DC0ED0">
              <w:rPr>
                <w:rFonts w:ascii="Century Gothic" w:hAnsi="Century Gothic"/>
                <w:sz w:val="24"/>
                <w:szCs w:val="24"/>
              </w:rPr>
              <w:t xml:space="preserve"> (CI20) :  Les défis des stars up en Côte d’Ivoire </w:t>
            </w:r>
          </w:p>
        </w:tc>
      </w:tr>
      <w:tr w:rsidR="0066468C" w:rsidRPr="00DC0ED0" w14:paraId="76819784" w14:textId="77777777" w:rsidTr="0066468C">
        <w:trPr>
          <w:trHeight w:val="195"/>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55E93A8C"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t>10h45 – 11h00</w:t>
            </w:r>
          </w:p>
        </w:tc>
        <w:tc>
          <w:tcPr>
            <w:tcW w:w="6946" w:type="dxa"/>
            <w:tcBorders>
              <w:top w:val="single" w:sz="4" w:space="0" w:color="auto"/>
              <w:left w:val="single" w:sz="4" w:space="0" w:color="auto"/>
              <w:bottom w:val="single" w:sz="4" w:space="0" w:color="auto"/>
              <w:right w:val="single" w:sz="4" w:space="0" w:color="auto"/>
            </w:tcBorders>
            <w:vAlign w:val="center"/>
          </w:tcPr>
          <w:p w14:paraId="6F77F921" w14:textId="77777777" w:rsidR="0066468C" w:rsidRPr="00DC0ED0" w:rsidRDefault="0066468C">
            <w:pPr>
              <w:rPr>
                <w:rFonts w:ascii="Century Gothic" w:hAnsi="Century Gothic"/>
                <w:sz w:val="24"/>
                <w:szCs w:val="24"/>
              </w:rPr>
            </w:pPr>
            <w:r w:rsidRPr="00DC0ED0">
              <w:rPr>
                <w:rFonts w:ascii="Century Gothic" w:hAnsi="Century Gothic"/>
                <w:sz w:val="24"/>
                <w:szCs w:val="24"/>
              </w:rPr>
              <w:t>Pause-café</w:t>
            </w:r>
          </w:p>
          <w:p w14:paraId="689D52E2" w14:textId="77777777" w:rsidR="0066468C" w:rsidRPr="00DC0ED0" w:rsidRDefault="0066468C">
            <w:pPr>
              <w:rPr>
                <w:rFonts w:ascii="Century Gothic" w:hAnsi="Century Gothic"/>
                <w:b/>
                <w:bCs/>
                <w:sz w:val="24"/>
                <w:szCs w:val="24"/>
              </w:rPr>
            </w:pPr>
          </w:p>
        </w:tc>
      </w:tr>
      <w:tr w:rsidR="0066468C" w:rsidRPr="00DC0ED0" w14:paraId="1B767982" w14:textId="77777777" w:rsidTr="0066468C">
        <w:trPr>
          <w:trHeight w:val="560"/>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649EA6FA"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lastRenderedPageBreak/>
              <w:t>11h05 – 11h25</w:t>
            </w:r>
          </w:p>
        </w:tc>
        <w:tc>
          <w:tcPr>
            <w:tcW w:w="6946" w:type="dxa"/>
            <w:tcBorders>
              <w:top w:val="single" w:sz="4" w:space="0" w:color="auto"/>
              <w:left w:val="single" w:sz="4" w:space="0" w:color="auto"/>
              <w:bottom w:val="single" w:sz="4" w:space="0" w:color="auto"/>
              <w:right w:val="single" w:sz="4" w:space="0" w:color="auto"/>
            </w:tcBorders>
            <w:vAlign w:val="center"/>
          </w:tcPr>
          <w:p w14:paraId="3578A0C2" w14:textId="77777777" w:rsidR="0066468C" w:rsidRPr="00DC0ED0" w:rsidRDefault="0066468C">
            <w:pPr>
              <w:rPr>
                <w:rFonts w:ascii="Century Gothic" w:hAnsi="Century Gothic"/>
                <w:sz w:val="24"/>
                <w:szCs w:val="24"/>
              </w:rPr>
            </w:pPr>
            <w:r w:rsidRPr="00DC0ED0">
              <w:rPr>
                <w:rFonts w:ascii="Century Gothic" w:hAnsi="Century Gothic"/>
                <w:b/>
                <w:bCs/>
                <w:sz w:val="24"/>
                <w:szCs w:val="24"/>
              </w:rPr>
              <w:t>Présentation 6</w:t>
            </w:r>
            <w:r w:rsidRPr="00DC0ED0">
              <w:rPr>
                <w:rFonts w:ascii="Century Gothic" w:hAnsi="Century Gothic"/>
                <w:sz w:val="24"/>
                <w:szCs w:val="24"/>
              </w:rPr>
              <w:t xml:space="preserve"> (Orange CI) : Interopérabilité dans le cadre de l’usage des codes USSD</w:t>
            </w:r>
          </w:p>
          <w:p w14:paraId="6FBC0771" w14:textId="77777777" w:rsidR="0066468C" w:rsidRPr="00DC0ED0" w:rsidRDefault="0066468C">
            <w:pPr>
              <w:rPr>
                <w:rFonts w:ascii="Century Gothic" w:hAnsi="Century Gothic"/>
                <w:b/>
                <w:bCs/>
                <w:sz w:val="24"/>
                <w:szCs w:val="24"/>
              </w:rPr>
            </w:pPr>
          </w:p>
        </w:tc>
      </w:tr>
      <w:tr w:rsidR="0066468C" w:rsidRPr="00DC0ED0" w14:paraId="78E22B46" w14:textId="77777777" w:rsidTr="0066468C">
        <w:trPr>
          <w:trHeight w:val="571"/>
        </w:trPr>
        <w:tc>
          <w:tcPr>
            <w:tcW w:w="1838" w:type="dxa"/>
            <w:tcBorders>
              <w:top w:val="single" w:sz="4" w:space="0" w:color="auto"/>
              <w:left w:val="single" w:sz="4" w:space="0" w:color="auto"/>
              <w:bottom w:val="single" w:sz="4" w:space="0" w:color="auto"/>
              <w:right w:val="single" w:sz="4" w:space="0" w:color="auto"/>
            </w:tcBorders>
            <w:noWrap/>
            <w:vAlign w:val="center"/>
          </w:tcPr>
          <w:p w14:paraId="2B2022A8"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t>11h30 – 11h50</w:t>
            </w:r>
          </w:p>
          <w:p w14:paraId="0ADE43E0" w14:textId="77777777" w:rsidR="0066468C" w:rsidRPr="00DC0ED0" w:rsidRDefault="0066468C">
            <w:pPr>
              <w:rPr>
                <w:rFonts w:ascii="Century Gothic" w:hAnsi="Century Gothic"/>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0BDEAEBC"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t>Présentation 7</w:t>
            </w:r>
            <w:r w:rsidRPr="00DC0ED0">
              <w:rPr>
                <w:rFonts w:ascii="Century Gothic" w:hAnsi="Century Gothic"/>
                <w:sz w:val="24"/>
                <w:szCs w:val="24"/>
              </w:rPr>
              <w:t xml:space="preserve"> (MTN CI) : les offres de services à valeur ajoutée</w:t>
            </w:r>
          </w:p>
        </w:tc>
      </w:tr>
      <w:tr w:rsidR="0066468C" w:rsidRPr="00DC0ED0" w14:paraId="405D2288" w14:textId="77777777" w:rsidTr="0066468C">
        <w:trPr>
          <w:trHeight w:val="191"/>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17A3197D"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t>11h55 – 12h15</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7158A07"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t xml:space="preserve">Présentation 8 </w:t>
            </w:r>
            <w:r w:rsidRPr="00DC0ED0">
              <w:rPr>
                <w:rFonts w:ascii="Century Gothic" w:hAnsi="Century Gothic"/>
                <w:sz w:val="24"/>
                <w:szCs w:val="24"/>
              </w:rPr>
              <w:t>(MOOV AFRICA CI) : Conditions d’accès au réseau par les fournisseurs de services à valeur ajoutée</w:t>
            </w:r>
          </w:p>
        </w:tc>
      </w:tr>
      <w:tr w:rsidR="0066468C" w:rsidRPr="00DC0ED0" w14:paraId="465A4C48" w14:textId="77777777" w:rsidTr="0066468C">
        <w:trPr>
          <w:trHeight w:val="431"/>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50029C23"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t>12h30 – 14h00</w:t>
            </w:r>
          </w:p>
        </w:tc>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2CD7AA" w14:textId="77777777" w:rsidR="0066468C" w:rsidRPr="00DC0ED0" w:rsidRDefault="0066468C">
            <w:pPr>
              <w:rPr>
                <w:rFonts w:ascii="Century Gothic" w:hAnsi="Century Gothic"/>
                <w:sz w:val="24"/>
                <w:szCs w:val="24"/>
              </w:rPr>
            </w:pPr>
            <w:r w:rsidRPr="00DC0ED0">
              <w:rPr>
                <w:rFonts w:ascii="Century Gothic" w:hAnsi="Century Gothic"/>
                <w:sz w:val="24"/>
                <w:szCs w:val="24"/>
              </w:rPr>
              <w:t xml:space="preserve">                              Déjeuner</w:t>
            </w:r>
          </w:p>
        </w:tc>
      </w:tr>
      <w:tr w:rsidR="0066468C" w:rsidRPr="00DC0ED0" w14:paraId="49EC6FB9" w14:textId="77777777" w:rsidTr="0066468C">
        <w:trPr>
          <w:trHeight w:val="810"/>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112D307D"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t>14h00 – 16h00</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DA9E615" w14:textId="77777777" w:rsidR="0066468C" w:rsidRPr="00DC0ED0" w:rsidRDefault="0066468C">
            <w:pPr>
              <w:rPr>
                <w:rFonts w:ascii="Century Gothic" w:hAnsi="Century Gothic"/>
                <w:b/>
                <w:bCs/>
                <w:sz w:val="24"/>
                <w:szCs w:val="24"/>
              </w:rPr>
            </w:pPr>
            <w:r w:rsidRPr="00DC0ED0">
              <w:rPr>
                <w:rFonts w:ascii="Century Gothic" w:hAnsi="Century Gothic"/>
                <w:sz w:val="24"/>
                <w:szCs w:val="24"/>
              </w:rPr>
              <w:t xml:space="preserve">Présentation et Adoption des recommandations du séminaire </w:t>
            </w:r>
          </w:p>
        </w:tc>
      </w:tr>
      <w:tr w:rsidR="0066468C" w:rsidRPr="00DC0ED0" w14:paraId="32E15E72" w14:textId="77777777" w:rsidTr="0066468C">
        <w:trPr>
          <w:trHeight w:val="591"/>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0E86D99C"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t>16h00 – 16h15</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657017F" w14:textId="77777777" w:rsidR="0066468C" w:rsidRPr="00DC0ED0" w:rsidRDefault="0066468C">
            <w:pPr>
              <w:rPr>
                <w:rFonts w:ascii="Century Gothic" w:hAnsi="Century Gothic"/>
                <w:sz w:val="24"/>
                <w:szCs w:val="24"/>
              </w:rPr>
            </w:pPr>
            <w:r w:rsidRPr="00DC0ED0">
              <w:rPr>
                <w:rFonts w:ascii="Century Gothic" w:hAnsi="Century Gothic"/>
                <w:sz w:val="24"/>
                <w:szCs w:val="24"/>
              </w:rPr>
              <w:t xml:space="preserve">Pause-café </w:t>
            </w:r>
          </w:p>
        </w:tc>
      </w:tr>
      <w:tr w:rsidR="0066468C" w:rsidRPr="00DC0ED0" w14:paraId="57085BA5" w14:textId="77777777" w:rsidTr="0066468C">
        <w:trPr>
          <w:trHeight w:val="557"/>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0AF1182E"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t>16h15 - 16h30</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E394B3D" w14:textId="77777777" w:rsidR="0066468C" w:rsidRPr="00DC0ED0" w:rsidRDefault="0066468C">
            <w:pPr>
              <w:rPr>
                <w:rFonts w:ascii="Century Gothic" w:hAnsi="Century Gothic"/>
                <w:sz w:val="24"/>
                <w:szCs w:val="24"/>
              </w:rPr>
            </w:pPr>
            <w:r w:rsidRPr="00DC0ED0">
              <w:rPr>
                <w:rFonts w:ascii="Century Gothic" w:hAnsi="Century Gothic"/>
                <w:sz w:val="24"/>
                <w:szCs w:val="24"/>
              </w:rPr>
              <w:t>Discours de clôture du DG de l’ARTCI ou son représentant</w:t>
            </w:r>
            <w:r w:rsidRPr="00DC0ED0">
              <w:rPr>
                <w:rFonts w:ascii="Century Gothic" w:hAnsi="Century Gothic"/>
                <w:b/>
                <w:bCs/>
                <w:sz w:val="24"/>
                <w:szCs w:val="24"/>
              </w:rPr>
              <w:t xml:space="preserve"> </w:t>
            </w:r>
          </w:p>
        </w:tc>
      </w:tr>
      <w:tr w:rsidR="0066468C" w:rsidRPr="00DC0ED0" w14:paraId="04EA8FAF" w14:textId="77777777" w:rsidTr="0066468C">
        <w:trPr>
          <w:trHeight w:val="465"/>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76B0A5C6" w14:textId="77777777" w:rsidR="0066468C" w:rsidRPr="00DC0ED0" w:rsidRDefault="0066468C">
            <w:pPr>
              <w:rPr>
                <w:rFonts w:ascii="Century Gothic" w:hAnsi="Century Gothic"/>
                <w:b/>
                <w:bCs/>
                <w:sz w:val="24"/>
                <w:szCs w:val="24"/>
              </w:rPr>
            </w:pPr>
            <w:r w:rsidRPr="00DC0ED0">
              <w:rPr>
                <w:rFonts w:ascii="Century Gothic" w:hAnsi="Century Gothic"/>
                <w:b/>
                <w:bCs/>
                <w:sz w:val="24"/>
                <w:szCs w:val="24"/>
              </w:rPr>
              <w:t>16h30</w:t>
            </w:r>
          </w:p>
        </w:tc>
        <w:tc>
          <w:tcPr>
            <w:tcW w:w="69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1D49F27" w14:textId="77777777" w:rsidR="0066468C" w:rsidRPr="00DC0ED0" w:rsidRDefault="0066468C">
            <w:pPr>
              <w:jc w:val="center"/>
              <w:rPr>
                <w:rFonts w:ascii="Century Gothic" w:hAnsi="Century Gothic"/>
                <w:b/>
                <w:bCs/>
                <w:sz w:val="24"/>
                <w:szCs w:val="24"/>
              </w:rPr>
            </w:pPr>
            <w:r w:rsidRPr="00DC0ED0">
              <w:rPr>
                <w:rFonts w:ascii="Century Gothic" w:hAnsi="Century Gothic"/>
                <w:b/>
                <w:bCs/>
                <w:sz w:val="24"/>
                <w:szCs w:val="24"/>
              </w:rPr>
              <w:t xml:space="preserve">FIN DU SEMINAIRE </w:t>
            </w:r>
          </w:p>
        </w:tc>
      </w:tr>
    </w:tbl>
    <w:p w14:paraId="21D0FD1F" w14:textId="369DB9DB" w:rsidR="0066468C" w:rsidRPr="00DC0ED0" w:rsidRDefault="0066468C" w:rsidP="00017958">
      <w:pPr>
        <w:jc w:val="both"/>
        <w:rPr>
          <w:rFonts w:ascii="Century Gothic" w:hAnsi="Century Gothic"/>
          <w:sz w:val="24"/>
          <w:szCs w:val="24"/>
        </w:rPr>
      </w:pPr>
    </w:p>
    <w:p w14:paraId="317F7E70" w14:textId="44916114" w:rsidR="003E061C" w:rsidRPr="00DC0ED0" w:rsidRDefault="003E061C" w:rsidP="00017958">
      <w:pPr>
        <w:pStyle w:val="Titre1"/>
        <w:spacing w:line="276" w:lineRule="auto"/>
        <w:jc w:val="both"/>
        <w:rPr>
          <w:rFonts w:ascii="Century Gothic" w:hAnsi="Century Gothic"/>
          <w:sz w:val="24"/>
          <w:szCs w:val="24"/>
        </w:rPr>
      </w:pPr>
      <w:r w:rsidRPr="00DC0ED0">
        <w:rPr>
          <w:rFonts w:ascii="Century Gothic" w:hAnsi="Century Gothic"/>
          <w:sz w:val="24"/>
          <w:szCs w:val="24"/>
        </w:rPr>
        <w:t>V</w:t>
      </w:r>
      <w:r w:rsidR="00017958" w:rsidRPr="00DC0ED0">
        <w:rPr>
          <w:rFonts w:ascii="Century Gothic" w:hAnsi="Century Gothic"/>
          <w:sz w:val="24"/>
          <w:szCs w:val="24"/>
        </w:rPr>
        <w:t>I</w:t>
      </w:r>
      <w:r w:rsidRPr="00DC0ED0">
        <w:rPr>
          <w:rFonts w:ascii="Century Gothic" w:hAnsi="Century Gothic"/>
          <w:sz w:val="24"/>
          <w:szCs w:val="24"/>
        </w:rPr>
        <w:t>/ Dispositions pratiques pour la presse</w:t>
      </w:r>
    </w:p>
    <w:p w14:paraId="032266A8" w14:textId="77777777" w:rsidR="003E061C" w:rsidRPr="00DC0ED0" w:rsidRDefault="003E061C" w:rsidP="003E061C">
      <w:pPr>
        <w:pStyle w:val="Paragraphedeliste"/>
        <w:numPr>
          <w:ilvl w:val="0"/>
          <w:numId w:val="3"/>
        </w:numPr>
        <w:spacing w:line="276" w:lineRule="auto"/>
        <w:jc w:val="both"/>
        <w:rPr>
          <w:rFonts w:ascii="Century Gothic" w:hAnsi="Century Gothic" w:cs="Tahoma"/>
          <w:sz w:val="24"/>
          <w:szCs w:val="24"/>
        </w:rPr>
      </w:pPr>
      <w:r w:rsidRPr="00DC0ED0">
        <w:rPr>
          <w:rFonts w:ascii="Century Gothic" w:hAnsi="Century Gothic" w:cs="Tahoma"/>
          <w:sz w:val="24"/>
          <w:szCs w:val="24"/>
        </w:rPr>
        <w:t>Des espaces et des temps d’interview seront accordés à la presse pendant une période qui n’excède pas 5 minutes.</w:t>
      </w:r>
    </w:p>
    <w:p w14:paraId="59C8F7F2" w14:textId="77777777" w:rsidR="003E061C" w:rsidRPr="00DC0ED0" w:rsidRDefault="003E061C" w:rsidP="003E061C">
      <w:pPr>
        <w:pStyle w:val="Paragraphedeliste"/>
        <w:spacing w:line="276" w:lineRule="auto"/>
        <w:jc w:val="both"/>
        <w:rPr>
          <w:rFonts w:ascii="Century Gothic" w:hAnsi="Century Gothic" w:cs="Tahoma"/>
          <w:sz w:val="24"/>
          <w:szCs w:val="24"/>
        </w:rPr>
      </w:pPr>
    </w:p>
    <w:p w14:paraId="0DDCF29C" w14:textId="77777777" w:rsidR="003E061C" w:rsidRPr="00DC0ED0" w:rsidRDefault="003E061C" w:rsidP="003E061C">
      <w:pPr>
        <w:pStyle w:val="Paragraphedeliste"/>
        <w:numPr>
          <w:ilvl w:val="0"/>
          <w:numId w:val="3"/>
        </w:numPr>
        <w:spacing w:line="276" w:lineRule="auto"/>
        <w:jc w:val="both"/>
        <w:rPr>
          <w:rFonts w:ascii="Century Gothic" w:hAnsi="Century Gothic" w:cs="Tahoma"/>
          <w:sz w:val="24"/>
          <w:szCs w:val="24"/>
        </w:rPr>
      </w:pPr>
      <w:r w:rsidRPr="00DC0ED0">
        <w:rPr>
          <w:rFonts w:ascii="Century Gothic" w:hAnsi="Century Gothic" w:cs="Tahoma"/>
          <w:sz w:val="24"/>
          <w:szCs w:val="24"/>
        </w:rPr>
        <w:t>Les demandes d’interview et autres, devront être adressées à l’enregistrement sur les listes de présence.</w:t>
      </w:r>
    </w:p>
    <w:p w14:paraId="7054002B" w14:textId="415F8EED" w:rsidR="003E061C" w:rsidRPr="00DC0ED0" w:rsidRDefault="003E061C" w:rsidP="003E061C">
      <w:pPr>
        <w:spacing w:line="276" w:lineRule="auto"/>
        <w:jc w:val="both"/>
        <w:rPr>
          <w:rFonts w:ascii="Century Gothic" w:hAnsi="Century Gothic" w:cs="Tahoma"/>
          <w:i/>
          <w:sz w:val="24"/>
          <w:szCs w:val="24"/>
        </w:rPr>
      </w:pPr>
      <w:r w:rsidRPr="00DC0ED0">
        <w:rPr>
          <w:rFonts w:ascii="Century Gothic" w:hAnsi="Century Gothic" w:cs="Tahoma"/>
          <w:b/>
          <w:i/>
          <w:sz w:val="24"/>
          <w:szCs w:val="24"/>
        </w:rPr>
        <w:t>Contacts</w:t>
      </w:r>
      <w:r w:rsidRPr="00DC0ED0">
        <w:rPr>
          <w:rFonts w:ascii="Century Gothic" w:hAnsi="Century Gothic" w:cs="Tahoma"/>
          <w:i/>
          <w:sz w:val="24"/>
          <w:szCs w:val="24"/>
        </w:rPr>
        <w:t xml:space="preserve"> : Pour des renseignements complémentaires, veuillez contacter Madame </w:t>
      </w:r>
      <w:r w:rsidRPr="00DC0ED0">
        <w:rPr>
          <w:rFonts w:ascii="Century Gothic" w:hAnsi="Century Gothic" w:cs="Tahoma"/>
          <w:b/>
          <w:i/>
          <w:sz w:val="24"/>
          <w:szCs w:val="24"/>
        </w:rPr>
        <w:t>N’</w:t>
      </w:r>
      <w:proofErr w:type="spellStart"/>
      <w:r w:rsidRPr="00DC0ED0">
        <w:rPr>
          <w:rFonts w:ascii="Century Gothic" w:hAnsi="Century Gothic" w:cs="Tahoma"/>
          <w:b/>
          <w:i/>
          <w:sz w:val="24"/>
          <w:szCs w:val="24"/>
        </w:rPr>
        <w:t>Dakon</w:t>
      </w:r>
      <w:proofErr w:type="spellEnd"/>
      <w:r w:rsidRPr="00DC0ED0">
        <w:rPr>
          <w:rFonts w:ascii="Century Gothic" w:hAnsi="Century Gothic" w:cs="Tahoma"/>
          <w:b/>
          <w:i/>
          <w:sz w:val="24"/>
          <w:szCs w:val="24"/>
        </w:rPr>
        <w:t xml:space="preserve"> Aline </w:t>
      </w:r>
      <w:proofErr w:type="spellStart"/>
      <w:r w:rsidRPr="00DC0ED0">
        <w:rPr>
          <w:rFonts w:ascii="Century Gothic" w:hAnsi="Century Gothic" w:cs="Tahoma"/>
          <w:b/>
          <w:i/>
          <w:sz w:val="24"/>
          <w:szCs w:val="24"/>
        </w:rPr>
        <w:t>Moularé</w:t>
      </w:r>
      <w:proofErr w:type="spellEnd"/>
      <w:r w:rsidRPr="00DC0ED0">
        <w:rPr>
          <w:rFonts w:ascii="Century Gothic" w:hAnsi="Century Gothic" w:cs="Tahoma"/>
          <w:b/>
          <w:i/>
          <w:sz w:val="24"/>
          <w:szCs w:val="24"/>
        </w:rPr>
        <w:t>, Directeur de la Communication</w:t>
      </w:r>
      <w:r w:rsidRPr="00DC0ED0">
        <w:rPr>
          <w:rFonts w:ascii="Century Gothic" w:hAnsi="Century Gothic" w:cs="Tahoma"/>
          <w:i/>
          <w:sz w:val="24"/>
          <w:szCs w:val="24"/>
        </w:rPr>
        <w:t xml:space="preserve"> au </w:t>
      </w:r>
      <w:r w:rsidRPr="00DC0ED0">
        <w:rPr>
          <w:rFonts w:ascii="Century Gothic" w:hAnsi="Century Gothic" w:cs="Tahoma"/>
          <w:b/>
          <w:i/>
          <w:sz w:val="24"/>
          <w:szCs w:val="24"/>
        </w:rPr>
        <w:t>+225 20 34 41 60</w:t>
      </w:r>
      <w:r w:rsidRPr="00DC0ED0">
        <w:rPr>
          <w:rFonts w:ascii="Century Gothic" w:hAnsi="Century Gothic" w:cs="Tahoma"/>
          <w:i/>
          <w:sz w:val="24"/>
          <w:szCs w:val="24"/>
        </w:rPr>
        <w:t xml:space="preserve"> ou au </w:t>
      </w:r>
      <w:r w:rsidR="00DC0ED0" w:rsidRPr="00DC0ED0">
        <w:rPr>
          <w:rFonts w:ascii="Century Gothic" w:hAnsi="Century Gothic" w:cs="Tahoma"/>
          <w:i/>
          <w:sz w:val="24"/>
          <w:szCs w:val="24"/>
        </w:rPr>
        <w:t xml:space="preserve">01 </w:t>
      </w:r>
      <w:r w:rsidRPr="00DC0ED0">
        <w:rPr>
          <w:rFonts w:ascii="Century Gothic" w:hAnsi="Century Gothic" w:cs="Tahoma"/>
          <w:i/>
          <w:sz w:val="24"/>
          <w:szCs w:val="24"/>
        </w:rPr>
        <w:t>03 32 08 61.</w:t>
      </w:r>
    </w:p>
    <w:p w14:paraId="619765FC" w14:textId="77777777" w:rsidR="006A0AC5" w:rsidRPr="00DC0ED0" w:rsidRDefault="006A0AC5" w:rsidP="007D261B">
      <w:pPr>
        <w:spacing w:line="240" w:lineRule="auto"/>
        <w:jc w:val="both"/>
        <w:rPr>
          <w:rFonts w:ascii="Century Gothic" w:eastAsia="Calibri" w:hAnsi="Century Gothic" w:cs="Tahoma"/>
          <w:bCs/>
          <w:sz w:val="24"/>
          <w:szCs w:val="24"/>
        </w:rPr>
      </w:pPr>
    </w:p>
    <w:sectPr w:rsidR="006A0AC5" w:rsidRPr="00DC0ED0" w:rsidSect="00D12BE3">
      <w:footerReference w:type="default" r:id="rId9"/>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F51F" w14:textId="77777777" w:rsidR="007D6C9C" w:rsidRDefault="007D6C9C" w:rsidP="00034C3C">
      <w:pPr>
        <w:spacing w:after="0" w:line="240" w:lineRule="auto"/>
      </w:pPr>
      <w:r>
        <w:separator/>
      </w:r>
    </w:p>
  </w:endnote>
  <w:endnote w:type="continuationSeparator" w:id="0">
    <w:p w14:paraId="07D47A6D" w14:textId="77777777" w:rsidR="007D6C9C" w:rsidRDefault="007D6C9C" w:rsidP="0003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w Cen MT" w:hAnsi="Tw Cen MT" w:cs="Tahoma"/>
        <w:b/>
        <w:sz w:val="24"/>
      </w:rPr>
      <w:id w:val="-1200169376"/>
      <w:docPartObj>
        <w:docPartGallery w:val="Page Numbers (Bottom of Page)"/>
        <w:docPartUnique/>
      </w:docPartObj>
    </w:sdtPr>
    <w:sdtContent>
      <w:p w14:paraId="50CBA1E6" w14:textId="77777777" w:rsidR="00671E0D" w:rsidRPr="00BF71C4" w:rsidRDefault="00671E0D">
        <w:pPr>
          <w:pStyle w:val="Pieddepage"/>
          <w:rPr>
            <w:rFonts w:ascii="Tw Cen MT" w:hAnsi="Tw Cen MT" w:cs="Tahoma"/>
            <w:b/>
            <w:sz w:val="24"/>
          </w:rPr>
        </w:pPr>
        <w:r w:rsidRPr="00BF71C4">
          <w:rPr>
            <w:rFonts w:asciiTheme="majorHAnsi" w:eastAsiaTheme="majorEastAsia" w:hAnsiTheme="majorHAnsi" w:cstheme="majorBidi"/>
            <w:b/>
            <w:noProof/>
            <w:sz w:val="28"/>
            <w:szCs w:val="28"/>
            <w:lang w:eastAsia="fr-FR"/>
          </w:rPr>
          <mc:AlternateContent>
            <mc:Choice Requires="wps">
              <w:drawing>
                <wp:anchor distT="0" distB="0" distL="114300" distR="114300" simplePos="0" relativeHeight="251663360" behindDoc="0" locked="0" layoutInCell="1" allowOverlap="1" wp14:anchorId="5AB53A4E" wp14:editId="0A376FFE">
                  <wp:simplePos x="0" y="0"/>
                  <wp:positionH relativeFrom="rightMargin">
                    <wp:align>left</wp:align>
                  </wp:positionH>
                  <wp:positionV relativeFrom="page">
                    <wp:posOffset>9965055</wp:posOffset>
                  </wp:positionV>
                  <wp:extent cx="512445" cy="441325"/>
                  <wp:effectExtent l="0" t="0" r="0" b="0"/>
                  <wp:wrapNone/>
                  <wp:docPr id="1" name="Organigramme : Alternati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2278EB2" w14:textId="77777777" w:rsidR="00671E0D" w:rsidRDefault="00671E0D">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Pr="00671E0D">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53A4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8" type="#_x0000_t176" style="position:absolute;margin-left:0;margin-top:784.65pt;width:40.35pt;height:34.75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" filled="f" fillcolor="#5c83b4" stroked="f" strokecolor="#737373">
                  <v:textbox>
                    <w:txbxContent>
                      <w:p w14:paraId="12278EB2" w14:textId="77777777" w:rsidR="00671E0D" w:rsidRDefault="00671E0D">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Pr="00671E0D">
                          <w:rPr>
                            <w:noProof/>
                            <w:sz w:val="28"/>
                            <w:szCs w:val="28"/>
                          </w:rPr>
                          <w:t>1</w:t>
                        </w:r>
                        <w:r>
                          <w:rPr>
                            <w:sz w:val="28"/>
                            <w:szCs w:val="28"/>
                          </w:rPr>
                          <w:fldChar w:fldCharType="end"/>
                        </w:r>
                      </w:p>
                    </w:txbxContent>
                  </v:textbox>
                  <w10:wrap anchorx="margin" anchory="page"/>
                </v:shape>
              </w:pict>
            </mc:Fallback>
          </mc:AlternateContent>
        </w:r>
        <w:r>
          <w:rPr>
            <w:rFonts w:asciiTheme="majorHAnsi" w:eastAsiaTheme="majorEastAsia" w:hAnsiTheme="majorHAnsi" w:cstheme="majorBidi"/>
            <w:b/>
            <w:noProof/>
            <w:sz w:val="28"/>
            <w:szCs w:val="28"/>
            <w:lang w:eastAsia="fr-FR"/>
          </w:rPr>
          <mc:AlternateContent>
            <mc:Choice Requires="wps">
              <w:drawing>
                <wp:anchor distT="0" distB="0" distL="114300" distR="114300" simplePos="0" relativeHeight="251664384" behindDoc="0" locked="0" layoutInCell="1" allowOverlap="1" wp14:anchorId="758AB99E" wp14:editId="474249BA">
                  <wp:simplePos x="0" y="0"/>
                  <wp:positionH relativeFrom="margin">
                    <wp:posOffset>-4445</wp:posOffset>
                  </wp:positionH>
                  <wp:positionV relativeFrom="paragraph">
                    <wp:posOffset>191135</wp:posOffset>
                  </wp:positionV>
                  <wp:extent cx="5029200" cy="19050"/>
                  <wp:effectExtent l="19050" t="19050" r="19050" b="19050"/>
                  <wp:wrapNone/>
                  <wp:docPr id="5" name="Connecteur droit 5"/>
                  <wp:cNvGraphicFramePr/>
                  <a:graphic xmlns:a="http://schemas.openxmlformats.org/drawingml/2006/main">
                    <a:graphicData uri="http://schemas.microsoft.com/office/word/2010/wordprocessingShape">
                      <wps:wsp>
                        <wps:cNvCnPr/>
                        <wps:spPr>
                          <a:xfrm flipV="1">
                            <a:off x="0" y="0"/>
                            <a:ext cx="5029200" cy="19050"/>
                          </a:xfrm>
                          <a:prstGeom prst="line">
                            <a:avLst/>
                          </a:prstGeom>
                          <a:noFill/>
                          <a:ln w="381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96408A" id="Connecteur droit 5"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5.05pt" to="395.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" strokecolor="#ed7d31" strokeweight="3pt">
                  <v:stroke joinstyle="miter"/>
                  <w10:wrap anchorx="margin"/>
                </v:line>
              </w:pict>
            </mc:Fallback>
          </mc:AlternateContent>
        </w:r>
        <w:r>
          <w:rPr>
            <w:rFonts w:asciiTheme="majorHAnsi" w:eastAsiaTheme="majorEastAsia" w:hAnsiTheme="majorHAnsi" w:cstheme="majorBidi"/>
            <w:b/>
            <w:noProof/>
            <w:sz w:val="28"/>
            <w:szCs w:val="28"/>
            <w:lang w:eastAsia="fr-FR"/>
          </w:rPr>
          <mc:AlternateContent>
            <mc:Choice Requires="wps">
              <w:drawing>
                <wp:anchor distT="0" distB="0" distL="114300" distR="114300" simplePos="0" relativeHeight="251665408" behindDoc="0" locked="0" layoutInCell="1" allowOverlap="1" wp14:anchorId="65FFE931" wp14:editId="5D767D84">
                  <wp:simplePos x="0" y="0"/>
                  <wp:positionH relativeFrom="margin">
                    <wp:posOffset>-4446</wp:posOffset>
                  </wp:positionH>
                  <wp:positionV relativeFrom="paragraph">
                    <wp:posOffset>-37466</wp:posOffset>
                  </wp:positionV>
                  <wp:extent cx="5019675" cy="9525"/>
                  <wp:effectExtent l="19050" t="19050" r="28575" b="28575"/>
                  <wp:wrapNone/>
                  <wp:docPr id="6" name="Connecteur droit 6"/>
                  <wp:cNvGraphicFramePr/>
                  <a:graphic xmlns:a="http://schemas.openxmlformats.org/drawingml/2006/main">
                    <a:graphicData uri="http://schemas.microsoft.com/office/word/2010/wordprocessingShape">
                      <wps:wsp>
                        <wps:cNvCnPr/>
                        <wps:spPr>
                          <a:xfrm>
                            <a:off x="0" y="0"/>
                            <a:ext cx="5019675" cy="9525"/>
                          </a:xfrm>
                          <a:prstGeom prst="line">
                            <a:avLst/>
                          </a:prstGeom>
                          <a:noFill/>
                          <a:ln w="381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7B0E34" id="Connecteur droit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2.95pt" to="39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" strokecolor="#ed7d31" strokeweight="3pt">
                  <v:stroke joinstyle="miter"/>
                  <w10:wrap anchorx="margin"/>
                </v:line>
              </w:pict>
            </mc:Fallback>
          </mc:AlternateContent>
        </w:r>
        <w:r>
          <w:rPr>
            <w:rFonts w:ascii="Tw Cen MT" w:hAnsi="Tw Cen MT" w:cs="Tahoma"/>
            <w:b/>
            <w:sz w:val="24"/>
          </w:rPr>
          <w:t>Dossier de Presse : Signature de la charte de fonctionnement du CIVIX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w Cen MT" w:hAnsi="Tw Cen MT" w:cs="Tahoma"/>
        <w:b/>
        <w:sz w:val="24"/>
      </w:rPr>
      <w:id w:val="-208106119"/>
      <w:docPartObj>
        <w:docPartGallery w:val="Page Numbers (Bottom of Page)"/>
        <w:docPartUnique/>
      </w:docPartObj>
    </w:sdtPr>
    <w:sdtContent>
      <w:p w14:paraId="690D67F6" w14:textId="106FD8DF" w:rsidR="00034C3C" w:rsidRPr="00BF71C4" w:rsidRDefault="00034C3C">
        <w:pPr>
          <w:pStyle w:val="Pieddepage"/>
          <w:rPr>
            <w:rFonts w:ascii="Tw Cen MT" w:hAnsi="Tw Cen MT" w:cs="Tahoma"/>
            <w:b/>
            <w:sz w:val="24"/>
          </w:rPr>
        </w:pPr>
        <w:r w:rsidRPr="00BF71C4">
          <w:rPr>
            <w:rFonts w:asciiTheme="majorHAnsi" w:eastAsiaTheme="majorEastAsia" w:hAnsiTheme="majorHAnsi" w:cstheme="majorBidi"/>
            <w:b/>
            <w:noProof/>
            <w:sz w:val="28"/>
            <w:szCs w:val="28"/>
            <w:lang w:eastAsia="fr-FR"/>
          </w:rPr>
          <mc:AlternateContent>
            <mc:Choice Requires="wps">
              <w:drawing>
                <wp:anchor distT="0" distB="0" distL="114300" distR="114300" simplePos="0" relativeHeight="251659264" behindDoc="0" locked="0" layoutInCell="1" allowOverlap="1" wp14:anchorId="25A1F450" wp14:editId="648D2CB4">
                  <wp:simplePos x="0" y="0"/>
                  <wp:positionH relativeFrom="rightMargin">
                    <wp:align>left</wp:align>
                  </wp:positionH>
                  <wp:positionV relativeFrom="page">
                    <wp:posOffset>9965055</wp:posOffset>
                  </wp:positionV>
                  <wp:extent cx="512445" cy="441325"/>
                  <wp:effectExtent l="0" t="0" r="0" b="0"/>
                  <wp:wrapNone/>
                  <wp:docPr id="2" name="Organigramme : Alternativ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881895F" w14:textId="77777777" w:rsidR="00034C3C" w:rsidRDefault="00034C3C">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E80E2A" w:rsidRPr="00E80E2A">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1F45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 o:spid="_x0000_s1029" type="#_x0000_t176" style="position:absolute;margin-left:0;margin-top:784.65pt;width:40.35pt;height:34.7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" filled="f" fillcolor="#5c83b4" stroked="f" strokecolor="#737373">
                  <v:textbox>
                    <w:txbxContent>
                      <w:p w14:paraId="3881895F" w14:textId="77777777" w:rsidR="00034C3C" w:rsidRDefault="00034C3C">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E80E2A" w:rsidRPr="00E80E2A">
                          <w:rPr>
                            <w:noProof/>
                            <w:sz w:val="28"/>
                            <w:szCs w:val="28"/>
                          </w:rPr>
                          <w:t>1</w:t>
                        </w:r>
                        <w:r>
                          <w:rPr>
                            <w:sz w:val="28"/>
                            <w:szCs w:val="28"/>
                          </w:rPr>
                          <w:fldChar w:fldCharType="end"/>
                        </w:r>
                      </w:p>
                    </w:txbxContent>
                  </v:textbox>
                  <w10:wrap anchorx="margin" anchory="page"/>
                </v:shape>
              </w:pict>
            </mc:Fallback>
          </mc:AlternateContent>
        </w:r>
        <w:r>
          <w:rPr>
            <w:rFonts w:asciiTheme="majorHAnsi" w:eastAsiaTheme="majorEastAsia" w:hAnsiTheme="majorHAnsi" w:cstheme="majorBidi"/>
            <w:b/>
            <w:noProof/>
            <w:sz w:val="28"/>
            <w:szCs w:val="28"/>
            <w:lang w:eastAsia="fr-FR"/>
          </w:rPr>
          <mc:AlternateContent>
            <mc:Choice Requires="wps">
              <w:drawing>
                <wp:anchor distT="0" distB="0" distL="114300" distR="114300" simplePos="0" relativeHeight="251660288" behindDoc="0" locked="0" layoutInCell="1" allowOverlap="1" wp14:anchorId="51267009" wp14:editId="65397249">
                  <wp:simplePos x="0" y="0"/>
                  <wp:positionH relativeFrom="margin">
                    <wp:posOffset>-4445</wp:posOffset>
                  </wp:positionH>
                  <wp:positionV relativeFrom="paragraph">
                    <wp:posOffset>191135</wp:posOffset>
                  </wp:positionV>
                  <wp:extent cx="5029200" cy="19050"/>
                  <wp:effectExtent l="19050" t="19050" r="19050" b="19050"/>
                  <wp:wrapNone/>
                  <wp:docPr id="3" name="Connecteur droit 3"/>
                  <wp:cNvGraphicFramePr/>
                  <a:graphic xmlns:a="http://schemas.openxmlformats.org/drawingml/2006/main">
                    <a:graphicData uri="http://schemas.microsoft.com/office/word/2010/wordprocessingShape">
                      <wps:wsp>
                        <wps:cNvCnPr/>
                        <wps:spPr>
                          <a:xfrm flipV="1">
                            <a:off x="0" y="0"/>
                            <a:ext cx="5029200" cy="1905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45825" id="Connecteur droit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5.05pt" to="395.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" strokecolor="#ed7d31 [3205]" strokeweight="3pt">
                  <v:stroke joinstyle="miter"/>
                  <w10:wrap anchorx="margin"/>
                </v:line>
              </w:pict>
            </mc:Fallback>
          </mc:AlternateContent>
        </w:r>
        <w:r>
          <w:rPr>
            <w:rFonts w:asciiTheme="majorHAnsi" w:eastAsiaTheme="majorEastAsia" w:hAnsiTheme="majorHAnsi" w:cstheme="majorBidi"/>
            <w:b/>
            <w:noProof/>
            <w:sz w:val="28"/>
            <w:szCs w:val="28"/>
            <w:lang w:eastAsia="fr-FR"/>
          </w:rPr>
          <mc:AlternateContent>
            <mc:Choice Requires="wps">
              <w:drawing>
                <wp:anchor distT="0" distB="0" distL="114300" distR="114300" simplePos="0" relativeHeight="251661312" behindDoc="0" locked="0" layoutInCell="1" allowOverlap="1" wp14:anchorId="4AA4F457" wp14:editId="6E1906E8">
                  <wp:simplePos x="0" y="0"/>
                  <wp:positionH relativeFrom="margin">
                    <wp:posOffset>-4446</wp:posOffset>
                  </wp:positionH>
                  <wp:positionV relativeFrom="paragraph">
                    <wp:posOffset>-37466</wp:posOffset>
                  </wp:positionV>
                  <wp:extent cx="5019675" cy="9525"/>
                  <wp:effectExtent l="19050" t="19050" r="28575" b="28575"/>
                  <wp:wrapNone/>
                  <wp:docPr id="4" name="Connecteur droit 4"/>
                  <wp:cNvGraphicFramePr/>
                  <a:graphic xmlns:a="http://schemas.openxmlformats.org/drawingml/2006/main">
                    <a:graphicData uri="http://schemas.microsoft.com/office/word/2010/wordprocessingShape">
                      <wps:wsp>
                        <wps:cNvCnPr/>
                        <wps:spPr>
                          <a:xfrm>
                            <a:off x="0" y="0"/>
                            <a:ext cx="5019675" cy="9525"/>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692E6"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2.95pt" to="39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" strokecolor="#ed7d31 [3205]" strokeweight="3pt">
                  <v:stroke joinstyle="miter"/>
                  <w10:wrap anchorx="margin"/>
                </v:line>
              </w:pict>
            </mc:Fallback>
          </mc:AlternateContent>
        </w:r>
        <w:r>
          <w:rPr>
            <w:rFonts w:ascii="Tw Cen MT" w:hAnsi="Tw Cen MT" w:cs="Tahoma"/>
            <w:b/>
            <w:sz w:val="24"/>
          </w:rPr>
          <w:t>Dossier de Presse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4203" w14:textId="77777777" w:rsidR="007D6C9C" w:rsidRDefault="007D6C9C" w:rsidP="00034C3C">
      <w:pPr>
        <w:spacing w:after="0" w:line="240" w:lineRule="auto"/>
      </w:pPr>
      <w:r>
        <w:separator/>
      </w:r>
    </w:p>
  </w:footnote>
  <w:footnote w:type="continuationSeparator" w:id="0">
    <w:p w14:paraId="78E44368" w14:textId="77777777" w:rsidR="007D6C9C" w:rsidRDefault="007D6C9C" w:rsidP="00034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871"/>
    <w:multiLevelType w:val="hybridMultilevel"/>
    <w:tmpl w:val="A2C6277A"/>
    <w:lvl w:ilvl="0" w:tplc="1CE257E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26237"/>
    <w:multiLevelType w:val="hybridMultilevel"/>
    <w:tmpl w:val="4C9EC9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560277"/>
    <w:multiLevelType w:val="hybridMultilevel"/>
    <w:tmpl w:val="2AD0B87C"/>
    <w:lvl w:ilvl="0" w:tplc="5BE6F31C">
      <w:start w:val="1"/>
      <w:numFmt w:val="upperRoman"/>
      <w:lvlText w:val="%1."/>
      <w:lvlJc w:val="left"/>
      <w:pPr>
        <w:ind w:left="1080" w:hanging="72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3" w15:restartNumberingAfterBreak="0">
    <w:nsid w:val="3FAE2B77"/>
    <w:multiLevelType w:val="hybridMultilevel"/>
    <w:tmpl w:val="B72CBDE8"/>
    <w:lvl w:ilvl="0" w:tplc="3ECEEA78">
      <w:start w:val="1"/>
      <w:numFmt w:val="bullet"/>
      <w:lvlText w:val="►"/>
      <w:lvlJc w:val="left"/>
      <w:pPr>
        <w:tabs>
          <w:tab w:val="num" w:pos="567"/>
        </w:tabs>
        <w:ind w:left="643" w:hanging="473"/>
      </w:pPr>
      <w:rPr>
        <w:rFonts w:ascii="Century Gothic" w:hAnsi="Century Gothic" w:hint="default"/>
      </w:rPr>
    </w:lvl>
    <w:lvl w:ilvl="1" w:tplc="81B230F6">
      <w:numFmt w:val="bullet"/>
      <w:lvlText w:val="►"/>
      <w:lvlJc w:val="left"/>
      <w:pPr>
        <w:tabs>
          <w:tab w:val="num" w:pos="1440"/>
        </w:tabs>
        <w:ind w:left="1440" w:hanging="360"/>
      </w:pPr>
      <w:rPr>
        <w:rFonts w:ascii="Century Gothic" w:hAnsi="Century Gothic" w:hint="default"/>
      </w:rPr>
    </w:lvl>
    <w:lvl w:ilvl="2" w:tplc="9F5045F8" w:tentative="1">
      <w:start w:val="1"/>
      <w:numFmt w:val="bullet"/>
      <w:lvlText w:val="►"/>
      <w:lvlJc w:val="left"/>
      <w:pPr>
        <w:tabs>
          <w:tab w:val="num" w:pos="2160"/>
        </w:tabs>
        <w:ind w:left="2160" w:hanging="360"/>
      </w:pPr>
      <w:rPr>
        <w:rFonts w:ascii="Century Gothic" w:hAnsi="Century Gothic" w:hint="default"/>
      </w:rPr>
    </w:lvl>
    <w:lvl w:ilvl="3" w:tplc="BD8A083A" w:tentative="1">
      <w:start w:val="1"/>
      <w:numFmt w:val="bullet"/>
      <w:lvlText w:val="►"/>
      <w:lvlJc w:val="left"/>
      <w:pPr>
        <w:tabs>
          <w:tab w:val="num" w:pos="2880"/>
        </w:tabs>
        <w:ind w:left="2880" w:hanging="360"/>
      </w:pPr>
      <w:rPr>
        <w:rFonts w:ascii="Century Gothic" w:hAnsi="Century Gothic" w:hint="default"/>
      </w:rPr>
    </w:lvl>
    <w:lvl w:ilvl="4" w:tplc="0C26625A" w:tentative="1">
      <w:start w:val="1"/>
      <w:numFmt w:val="bullet"/>
      <w:lvlText w:val="►"/>
      <w:lvlJc w:val="left"/>
      <w:pPr>
        <w:tabs>
          <w:tab w:val="num" w:pos="3600"/>
        </w:tabs>
        <w:ind w:left="3600" w:hanging="360"/>
      </w:pPr>
      <w:rPr>
        <w:rFonts w:ascii="Century Gothic" w:hAnsi="Century Gothic" w:hint="default"/>
      </w:rPr>
    </w:lvl>
    <w:lvl w:ilvl="5" w:tplc="7F647D64" w:tentative="1">
      <w:start w:val="1"/>
      <w:numFmt w:val="bullet"/>
      <w:lvlText w:val="►"/>
      <w:lvlJc w:val="left"/>
      <w:pPr>
        <w:tabs>
          <w:tab w:val="num" w:pos="4320"/>
        </w:tabs>
        <w:ind w:left="4320" w:hanging="360"/>
      </w:pPr>
      <w:rPr>
        <w:rFonts w:ascii="Century Gothic" w:hAnsi="Century Gothic" w:hint="default"/>
      </w:rPr>
    </w:lvl>
    <w:lvl w:ilvl="6" w:tplc="EB745E8C" w:tentative="1">
      <w:start w:val="1"/>
      <w:numFmt w:val="bullet"/>
      <w:lvlText w:val="►"/>
      <w:lvlJc w:val="left"/>
      <w:pPr>
        <w:tabs>
          <w:tab w:val="num" w:pos="5040"/>
        </w:tabs>
        <w:ind w:left="5040" w:hanging="360"/>
      </w:pPr>
      <w:rPr>
        <w:rFonts w:ascii="Century Gothic" w:hAnsi="Century Gothic" w:hint="default"/>
      </w:rPr>
    </w:lvl>
    <w:lvl w:ilvl="7" w:tplc="80B0432E" w:tentative="1">
      <w:start w:val="1"/>
      <w:numFmt w:val="bullet"/>
      <w:lvlText w:val="►"/>
      <w:lvlJc w:val="left"/>
      <w:pPr>
        <w:tabs>
          <w:tab w:val="num" w:pos="5760"/>
        </w:tabs>
        <w:ind w:left="5760" w:hanging="360"/>
      </w:pPr>
      <w:rPr>
        <w:rFonts w:ascii="Century Gothic" w:hAnsi="Century Gothic" w:hint="default"/>
      </w:rPr>
    </w:lvl>
    <w:lvl w:ilvl="8" w:tplc="89505104" w:tentative="1">
      <w:start w:val="1"/>
      <w:numFmt w:val="bullet"/>
      <w:lvlText w:val="►"/>
      <w:lvlJc w:val="left"/>
      <w:pPr>
        <w:tabs>
          <w:tab w:val="num" w:pos="6480"/>
        </w:tabs>
        <w:ind w:left="6480" w:hanging="360"/>
      </w:pPr>
      <w:rPr>
        <w:rFonts w:ascii="Century Gothic" w:hAnsi="Century Gothic" w:hint="default"/>
      </w:rPr>
    </w:lvl>
  </w:abstractNum>
  <w:abstractNum w:abstractNumId="4" w15:restartNumberingAfterBreak="0">
    <w:nsid w:val="419C4DC4"/>
    <w:multiLevelType w:val="hybridMultilevel"/>
    <w:tmpl w:val="4C722CE4"/>
    <w:lvl w:ilvl="0" w:tplc="F126F640">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1D162B"/>
    <w:multiLevelType w:val="multilevel"/>
    <w:tmpl w:val="9C3A0CEE"/>
    <w:lvl w:ilvl="0">
      <w:start w:val="1"/>
      <w:numFmt w:val="decimal"/>
      <w:lvlText w:val="%1."/>
      <w:lvlJc w:val="left"/>
      <w:pPr>
        <w:ind w:left="720" w:hanging="360"/>
      </w:pPr>
    </w:lvl>
    <w:lvl w:ilvl="1">
      <w:start w:val="1"/>
      <w:numFmt w:val="decimal"/>
      <w:isLgl/>
      <w:lvlText w:val="%1.%2."/>
      <w:lvlJc w:val="left"/>
      <w:pPr>
        <w:ind w:left="1854"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 w15:restartNumberingAfterBreak="0">
    <w:nsid w:val="502D0E08"/>
    <w:multiLevelType w:val="hybridMultilevel"/>
    <w:tmpl w:val="E5CEC6EA"/>
    <w:lvl w:ilvl="0" w:tplc="040C0013">
      <w:start w:val="1"/>
      <w:numFmt w:val="upperRoman"/>
      <w:lvlText w:val="%1."/>
      <w:lvlJc w:val="right"/>
      <w:pPr>
        <w:ind w:left="121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D645ABA"/>
    <w:multiLevelType w:val="hybridMultilevel"/>
    <w:tmpl w:val="E5CEC6E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160270"/>
    <w:multiLevelType w:val="hybridMultilevel"/>
    <w:tmpl w:val="CCE2A2EA"/>
    <w:lvl w:ilvl="0" w:tplc="CF36C694">
      <w:start w:val="284"/>
      <w:numFmt w:val="bullet"/>
      <w:lvlText w:val="-"/>
      <w:lvlJc w:val="left"/>
      <w:pPr>
        <w:ind w:left="720" w:hanging="360"/>
      </w:pPr>
      <w:rPr>
        <w:rFonts w:ascii="Century Gothic" w:eastAsiaTheme="minorHAnsi"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9F3EE0"/>
    <w:multiLevelType w:val="hybridMultilevel"/>
    <w:tmpl w:val="95DA77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A7C4CB0"/>
    <w:multiLevelType w:val="hybridMultilevel"/>
    <w:tmpl w:val="DEBEC5B6"/>
    <w:lvl w:ilvl="0" w:tplc="BC1E73AA">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0603AA"/>
    <w:multiLevelType w:val="hybridMultilevel"/>
    <w:tmpl w:val="A4BE90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461025979">
    <w:abstractNumId w:val="10"/>
  </w:num>
  <w:num w:numId="2" w16cid:durableId="1390766929">
    <w:abstractNumId w:val="3"/>
  </w:num>
  <w:num w:numId="3" w16cid:durableId="1713309730">
    <w:abstractNumId w:val="4"/>
  </w:num>
  <w:num w:numId="4" w16cid:durableId="443574284">
    <w:abstractNumId w:val="1"/>
  </w:num>
  <w:num w:numId="5" w16cid:durableId="2011640225">
    <w:abstractNumId w:val="6"/>
  </w:num>
  <w:num w:numId="6" w16cid:durableId="994845421">
    <w:abstractNumId w:val="7"/>
  </w:num>
  <w:num w:numId="7" w16cid:durableId="17703947">
    <w:abstractNumId w:val="8"/>
  </w:num>
  <w:num w:numId="8" w16cid:durableId="1364205399">
    <w:abstractNumId w:val="0"/>
  </w:num>
  <w:num w:numId="9" w16cid:durableId="942615045">
    <w:abstractNumId w:val="2"/>
  </w:num>
  <w:num w:numId="10" w16cid:durableId="19043635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6559736">
    <w:abstractNumId w:val="11"/>
    <w:lvlOverride w:ilvl="0"/>
    <w:lvlOverride w:ilvl="1"/>
    <w:lvlOverride w:ilvl="2"/>
    <w:lvlOverride w:ilvl="3"/>
    <w:lvlOverride w:ilvl="4"/>
    <w:lvlOverride w:ilvl="5"/>
    <w:lvlOverride w:ilvl="6"/>
    <w:lvlOverride w:ilvl="7"/>
    <w:lvlOverride w:ilvl="8"/>
  </w:num>
  <w:num w:numId="12" w16cid:durableId="67961973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3C"/>
    <w:rsid w:val="00004452"/>
    <w:rsid w:val="00017958"/>
    <w:rsid w:val="00034C3C"/>
    <w:rsid w:val="001C61F1"/>
    <w:rsid w:val="00237369"/>
    <w:rsid w:val="003E061C"/>
    <w:rsid w:val="0058140F"/>
    <w:rsid w:val="0066468C"/>
    <w:rsid w:val="00671E0D"/>
    <w:rsid w:val="006A0AC5"/>
    <w:rsid w:val="006B76AE"/>
    <w:rsid w:val="007D261B"/>
    <w:rsid w:val="007D6C9C"/>
    <w:rsid w:val="00935568"/>
    <w:rsid w:val="00996221"/>
    <w:rsid w:val="009A481C"/>
    <w:rsid w:val="00B02542"/>
    <w:rsid w:val="00C92D80"/>
    <w:rsid w:val="00D5072B"/>
    <w:rsid w:val="00DC0ED0"/>
    <w:rsid w:val="00E14CAE"/>
    <w:rsid w:val="00E80E2A"/>
    <w:rsid w:val="00ED0DAF"/>
    <w:rsid w:val="00F72134"/>
    <w:rsid w:val="00FB2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4419"/>
  <w15:chartTrackingRefBased/>
  <w15:docId w15:val="{B501AB4A-F187-4B68-A564-F0A3CDC7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68C"/>
  </w:style>
  <w:style w:type="paragraph" w:styleId="Titre1">
    <w:name w:val="heading 1"/>
    <w:basedOn w:val="Normal"/>
    <w:next w:val="Normal"/>
    <w:link w:val="Titre1Car"/>
    <w:uiPriority w:val="9"/>
    <w:qFormat/>
    <w:rsid w:val="00034C3C"/>
    <w:pPr>
      <w:keepNext/>
      <w:keepLines/>
      <w:spacing w:before="120" w:after="120"/>
      <w:outlineLvl w:val="0"/>
    </w:pPr>
    <w:rPr>
      <w:rFonts w:ascii="Tw Cen MT" w:eastAsiaTheme="majorEastAsia" w:hAnsi="Tw Cen MT" w:cstheme="majorBidi"/>
      <w:b/>
      <w:color w:val="ED7D31" w:themeColor="accent2"/>
      <w:sz w:val="32"/>
      <w:szCs w:val="32"/>
    </w:rPr>
  </w:style>
  <w:style w:type="paragraph" w:styleId="Titre2">
    <w:name w:val="heading 2"/>
    <w:basedOn w:val="Normal"/>
    <w:next w:val="Normal"/>
    <w:link w:val="Titre2Car"/>
    <w:uiPriority w:val="9"/>
    <w:unhideWhenUsed/>
    <w:qFormat/>
    <w:rsid w:val="00034C3C"/>
    <w:pPr>
      <w:keepNext/>
      <w:keepLines/>
      <w:spacing w:before="280" w:after="240"/>
      <w:outlineLvl w:val="1"/>
    </w:pPr>
    <w:rPr>
      <w:rFonts w:ascii="Tahoma" w:eastAsiaTheme="majorEastAsia" w:hAnsi="Tahoma" w:cstheme="majorBidi"/>
      <w:b/>
      <w:color w:val="7F7F7F" w:themeColor="text1" w:themeTint="8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4C3C"/>
    <w:rPr>
      <w:rFonts w:ascii="Tw Cen MT" w:eastAsiaTheme="majorEastAsia" w:hAnsi="Tw Cen MT" w:cstheme="majorBidi"/>
      <w:b/>
      <w:color w:val="ED7D31" w:themeColor="accent2"/>
      <w:sz w:val="32"/>
      <w:szCs w:val="32"/>
    </w:rPr>
  </w:style>
  <w:style w:type="character" w:customStyle="1" w:styleId="Titre2Car">
    <w:name w:val="Titre 2 Car"/>
    <w:basedOn w:val="Policepardfaut"/>
    <w:link w:val="Titre2"/>
    <w:uiPriority w:val="9"/>
    <w:rsid w:val="00034C3C"/>
    <w:rPr>
      <w:rFonts w:ascii="Tahoma" w:eastAsiaTheme="majorEastAsia" w:hAnsi="Tahoma" w:cstheme="majorBidi"/>
      <w:b/>
      <w:color w:val="7F7F7F" w:themeColor="text1" w:themeTint="80"/>
      <w:sz w:val="26"/>
      <w:szCs w:val="26"/>
    </w:rPr>
  </w:style>
  <w:style w:type="paragraph" w:styleId="Sansinterligne">
    <w:name w:val="No Spacing"/>
    <w:link w:val="SansinterligneCar"/>
    <w:uiPriority w:val="1"/>
    <w:qFormat/>
    <w:rsid w:val="00034C3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34C3C"/>
    <w:rPr>
      <w:rFonts w:eastAsiaTheme="minorEastAsia"/>
      <w:lang w:eastAsia="fr-FR"/>
    </w:rPr>
  </w:style>
  <w:style w:type="paragraph" w:styleId="Paragraphedeliste">
    <w:name w:val="List Paragraph"/>
    <w:aliases w:val="NUMBERED PARAGRAPH,List Paragraph 1,List Paragraph (numbered (a)),Use Case List Paragraph,References,ReferencesCxSpLast,lp1"/>
    <w:basedOn w:val="Normal"/>
    <w:link w:val="ParagraphedelisteCar"/>
    <w:uiPriority w:val="34"/>
    <w:qFormat/>
    <w:rsid w:val="00034C3C"/>
    <w:pPr>
      <w:ind w:left="720"/>
      <w:contextualSpacing/>
    </w:pPr>
  </w:style>
  <w:style w:type="paragraph" w:styleId="Notedebasdepage">
    <w:name w:val="footnote text"/>
    <w:basedOn w:val="Normal"/>
    <w:link w:val="NotedebasdepageCar"/>
    <w:uiPriority w:val="99"/>
    <w:semiHidden/>
    <w:unhideWhenUsed/>
    <w:rsid w:val="00034C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4C3C"/>
    <w:rPr>
      <w:sz w:val="20"/>
      <w:szCs w:val="20"/>
    </w:rPr>
  </w:style>
  <w:style w:type="character" w:styleId="Appelnotedebasdep">
    <w:name w:val="footnote reference"/>
    <w:basedOn w:val="Policepardfaut"/>
    <w:uiPriority w:val="99"/>
    <w:semiHidden/>
    <w:unhideWhenUsed/>
    <w:rsid w:val="00034C3C"/>
    <w:rPr>
      <w:vertAlign w:val="superscript"/>
    </w:rPr>
  </w:style>
  <w:style w:type="paragraph" w:styleId="NormalWeb">
    <w:name w:val="Normal (Web)"/>
    <w:basedOn w:val="Normal"/>
    <w:uiPriority w:val="99"/>
    <w:unhideWhenUsed/>
    <w:rsid w:val="00034C3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034C3C"/>
    <w:pPr>
      <w:outlineLvl w:val="9"/>
    </w:pPr>
    <w:rPr>
      <w:rFonts w:asciiTheme="majorHAnsi" w:hAnsiTheme="majorHAnsi"/>
      <w:b w:val="0"/>
      <w:color w:val="2E74B5" w:themeColor="accent1" w:themeShade="BF"/>
      <w:lang w:eastAsia="fr-FR"/>
    </w:rPr>
  </w:style>
  <w:style w:type="paragraph" w:styleId="TM1">
    <w:name w:val="toc 1"/>
    <w:basedOn w:val="Normal"/>
    <w:next w:val="Normal"/>
    <w:autoRedefine/>
    <w:uiPriority w:val="39"/>
    <w:unhideWhenUsed/>
    <w:rsid w:val="00034C3C"/>
    <w:pPr>
      <w:spacing w:after="100"/>
    </w:pPr>
  </w:style>
  <w:style w:type="character" w:styleId="Lienhypertexte">
    <w:name w:val="Hyperlink"/>
    <w:basedOn w:val="Policepardfaut"/>
    <w:uiPriority w:val="99"/>
    <w:unhideWhenUsed/>
    <w:rsid w:val="00034C3C"/>
    <w:rPr>
      <w:color w:val="0563C1" w:themeColor="hyperlink"/>
      <w:u w:val="single"/>
    </w:rPr>
  </w:style>
  <w:style w:type="paragraph" w:styleId="Pieddepage">
    <w:name w:val="footer"/>
    <w:basedOn w:val="Normal"/>
    <w:link w:val="PieddepageCar"/>
    <w:uiPriority w:val="99"/>
    <w:unhideWhenUsed/>
    <w:rsid w:val="00034C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4C3C"/>
  </w:style>
  <w:style w:type="paragraph" w:styleId="En-tte">
    <w:name w:val="header"/>
    <w:basedOn w:val="Normal"/>
    <w:link w:val="En-tteCar"/>
    <w:uiPriority w:val="99"/>
    <w:unhideWhenUsed/>
    <w:rsid w:val="00996221"/>
    <w:pPr>
      <w:tabs>
        <w:tab w:val="center" w:pos="4536"/>
        <w:tab w:val="right" w:pos="9072"/>
      </w:tabs>
      <w:spacing w:after="0" w:line="240" w:lineRule="auto"/>
    </w:pPr>
  </w:style>
  <w:style w:type="character" w:customStyle="1" w:styleId="En-tteCar">
    <w:name w:val="En-tête Car"/>
    <w:basedOn w:val="Policepardfaut"/>
    <w:link w:val="En-tte"/>
    <w:uiPriority w:val="99"/>
    <w:rsid w:val="00996221"/>
  </w:style>
  <w:style w:type="paragraph" w:styleId="TM2">
    <w:name w:val="toc 2"/>
    <w:basedOn w:val="Normal"/>
    <w:next w:val="Normal"/>
    <w:autoRedefine/>
    <w:uiPriority w:val="39"/>
    <w:unhideWhenUsed/>
    <w:rsid w:val="00D5072B"/>
    <w:pPr>
      <w:spacing w:after="100"/>
      <w:ind w:left="220"/>
    </w:pPr>
  </w:style>
  <w:style w:type="character" w:customStyle="1" w:styleId="ParagraphedelisteCar">
    <w:name w:val="Paragraphe de liste Car"/>
    <w:aliases w:val="NUMBERED PARAGRAPH Car,List Paragraph 1 Car,List Paragraph (numbered (a)) Car,Use Case List Paragraph Car,References Car,ReferencesCxSpLast Car,lp1 Car"/>
    <w:basedOn w:val="Policepardfaut"/>
    <w:link w:val="Paragraphedeliste"/>
    <w:uiPriority w:val="34"/>
    <w:locked/>
    <w:rsid w:val="003E061C"/>
  </w:style>
  <w:style w:type="table" w:styleId="Grilledutableau">
    <w:name w:val="Table Grid"/>
    <w:basedOn w:val="TableauNormal"/>
    <w:uiPriority w:val="39"/>
    <w:rsid w:val="006646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1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1099</Words>
  <Characters>6045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DOSSIER DE PRESSE</dc:subject>
  <dc:creator>yapoga.nicaise</dc:creator>
  <cp:keywords/>
  <dc:description/>
  <cp:lastModifiedBy>GNOKA Serges</cp:lastModifiedBy>
  <cp:revision>2</cp:revision>
  <dcterms:created xsi:type="dcterms:W3CDTF">2023-12-13T17:50:00Z</dcterms:created>
  <dcterms:modified xsi:type="dcterms:W3CDTF">2023-12-13T17:50:00Z</dcterms:modified>
</cp:coreProperties>
</file>